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470944">
      <w:pPr>
        <w:spacing w:before="184" w:line="178" w:lineRule="auto"/>
        <w:ind w:left="2448"/>
        <w:outlineLvl w:val="0"/>
        <w:rPr>
          <w:rFonts w:ascii="微软雅黑" w:hAnsi="微软雅黑" w:eastAsia="微软雅黑" w:cs="微软雅黑"/>
          <w:sz w:val="31"/>
          <w:szCs w:val="31"/>
        </w:rPr>
      </w:pPr>
      <w:r>
        <w:rPr>
          <w:rFonts w:hint="eastAsia" w:ascii="微软雅黑" w:hAnsi="微软雅黑" w:eastAsia="微软雅黑" w:cs="微软雅黑"/>
          <w:spacing w:val="8"/>
          <w:sz w:val="31"/>
          <w:szCs w:val="31"/>
          <w:lang w:val="en-US" w:eastAsia="zh-CN"/>
        </w:rPr>
        <w:t>通城县</w:t>
      </w:r>
      <w:bookmarkStart w:id="0" w:name="_GoBack"/>
      <w:bookmarkEnd w:id="0"/>
      <w:r>
        <w:rPr>
          <w:rFonts w:ascii="微软雅黑" w:hAnsi="微软雅黑" w:eastAsia="微软雅黑" w:cs="微软雅黑"/>
          <w:spacing w:val="8"/>
          <w:sz w:val="31"/>
          <w:szCs w:val="31"/>
        </w:rPr>
        <w:t>运动头盔产品质量监督抽查实施细则</w:t>
      </w:r>
    </w:p>
    <w:p w14:paraId="5C3714C9">
      <w:pPr>
        <w:spacing w:before="166" w:line="193" w:lineRule="auto"/>
        <w:ind w:left="4436"/>
        <w:rPr>
          <w:rFonts w:ascii="微软雅黑" w:hAnsi="微软雅黑" w:eastAsia="微软雅黑" w:cs="微软雅黑"/>
          <w:sz w:val="31"/>
          <w:szCs w:val="31"/>
        </w:rPr>
      </w:pPr>
      <w:r>
        <w:rPr>
          <w:rFonts w:ascii="微软雅黑" w:hAnsi="微软雅黑" w:eastAsia="微软雅黑" w:cs="微软雅黑"/>
          <w:spacing w:val="11"/>
          <w:sz w:val="31"/>
          <w:szCs w:val="31"/>
        </w:rPr>
        <w:t>（2025年版）</w:t>
      </w:r>
    </w:p>
    <w:p w14:paraId="1E249257">
      <w:pPr>
        <w:spacing w:before="24" w:line="222" w:lineRule="auto"/>
        <w:ind w:left="240"/>
        <w:rPr>
          <w:rFonts w:ascii="黑体" w:hAnsi="黑体" w:eastAsia="黑体" w:cs="黑体"/>
          <w:sz w:val="21"/>
          <w:szCs w:val="21"/>
        </w:rPr>
      </w:pPr>
      <w:r>
        <w:rPr>
          <w:rFonts w:ascii="黑体" w:hAnsi="黑体" w:eastAsia="黑体" w:cs="黑体"/>
          <w:spacing w:val="-12"/>
          <w:sz w:val="21"/>
          <w:szCs w:val="21"/>
        </w:rPr>
        <w:t>1 抽样方法</w:t>
      </w:r>
    </w:p>
    <w:p w14:paraId="244C5FA2">
      <w:pPr>
        <w:spacing w:line="264" w:lineRule="auto"/>
        <w:rPr>
          <w:rFonts w:ascii="Arial"/>
          <w:sz w:val="21"/>
        </w:rPr>
      </w:pPr>
    </w:p>
    <w:p w14:paraId="10F86780">
      <w:pPr>
        <w:pStyle w:val="2"/>
        <w:spacing w:before="69" w:line="514" w:lineRule="auto"/>
        <w:ind w:left="431" w:right="4667" w:firstLine="12"/>
      </w:pPr>
      <w:r>
        <w:rPr>
          <w:spacing w:val="-3"/>
        </w:rPr>
        <w:t>以随机抽样的方式在被抽样销售者的待销产品中取。</w:t>
      </w:r>
      <w:r>
        <w:rPr>
          <w:spacing w:val="8"/>
        </w:rPr>
        <w:t xml:space="preserve"> </w:t>
      </w:r>
      <w:r>
        <w:rPr>
          <w:spacing w:val="-2"/>
        </w:rPr>
        <w:t>随机数一般可使用随机数表等方法产生。</w:t>
      </w:r>
    </w:p>
    <w:p w14:paraId="3B9E488E">
      <w:pPr>
        <w:pStyle w:val="2"/>
        <w:spacing w:before="31" w:line="221" w:lineRule="auto"/>
        <w:ind w:left="440"/>
      </w:pPr>
      <w:r>
        <w:rPr>
          <w:spacing w:val="-1"/>
        </w:rPr>
        <w:t>同一生产者按照同一标准生产的同一商标、同一规格型号的产品：每批次抽取样品3顶，其中2检1备。</w:t>
      </w:r>
    </w:p>
    <w:p w14:paraId="3F74DDAD">
      <w:pPr>
        <w:spacing w:line="314" w:lineRule="auto"/>
        <w:rPr>
          <w:rFonts w:ascii="Arial"/>
          <w:sz w:val="21"/>
        </w:rPr>
      </w:pPr>
    </w:p>
    <w:p w14:paraId="5DD572E8">
      <w:pPr>
        <w:spacing w:line="315" w:lineRule="auto"/>
        <w:rPr>
          <w:rFonts w:ascii="Arial"/>
          <w:sz w:val="21"/>
        </w:rPr>
      </w:pPr>
    </w:p>
    <w:p w14:paraId="05730565">
      <w:pPr>
        <w:spacing w:before="68" w:line="223" w:lineRule="auto"/>
        <w:ind w:left="227"/>
        <w:rPr>
          <w:rFonts w:ascii="黑体" w:hAnsi="黑体" w:eastAsia="黑体" w:cs="黑体"/>
          <w:sz w:val="21"/>
          <w:szCs w:val="21"/>
        </w:rPr>
      </w:pPr>
      <w:r>
        <w:rPr>
          <w:rFonts w:ascii="黑体" w:hAnsi="黑体" w:eastAsia="黑体" w:cs="黑体"/>
          <w:spacing w:val="-9"/>
          <w:sz w:val="21"/>
          <w:szCs w:val="21"/>
        </w:rPr>
        <w:t>2</w:t>
      </w:r>
      <w:r>
        <w:rPr>
          <w:rFonts w:ascii="黑体" w:hAnsi="黑体" w:eastAsia="黑体" w:cs="黑体"/>
          <w:spacing w:val="-12"/>
          <w:sz w:val="21"/>
          <w:szCs w:val="21"/>
        </w:rPr>
        <w:t xml:space="preserve"> </w:t>
      </w:r>
      <w:r>
        <w:rPr>
          <w:rFonts w:ascii="黑体" w:hAnsi="黑体" w:eastAsia="黑体" w:cs="黑体"/>
          <w:spacing w:val="-9"/>
          <w:sz w:val="21"/>
          <w:szCs w:val="21"/>
        </w:rPr>
        <w:t>检验依据</w:t>
      </w:r>
    </w:p>
    <w:p w14:paraId="395A6859">
      <w:pPr>
        <w:spacing w:before="92"/>
      </w:pPr>
    </w:p>
    <w:tbl>
      <w:tblPr>
        <w:tblStyle w:val="5"/>
        <w:tblW w:w="9563" w:type="dxa"/>
        <w:tblInd w:w="30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81"/>
        <w:gridCol w:w="1983"/>
        <w:gridCol w:w="3399"/>
        <w:gridCol w:w="2900"/>
      </w:tblGrid>
      <w:tr w14:paraId="7196DB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9" w:hRule="atLeast"/>
        </w:trPr>
        <w:tc>
          <w:tcPr>
            <w:tcW w:w="1281" w:type="dxa"/>
            <w:vAlign w:val="top"/>
          </w:tcPr>
          <w:p w14:paraId="33EC7F45">
            <w:pPr>
              <w:pStyle w:val="6"/>
              <w:spacing w:before="103" w:line="207" w:lineRule="auto"/>
              <w:ind w:left="434"/>
            </w:pPr>
            <w:r>
              <w:rPr>
                <w:spacing w:val="-2"/>
              </w:rPr>
              <w:t>序号</w:t>
            </w:r>
          </w:p>
        </w:tc>
        <w:tc>
          <w:tcPr>
            <w:tcW w:w="5382" w:type="dxa"/>
            <w:gridSpan w:val="2"/>
            <w:vAlign w:val="top"/>
          </w:tcPr>
          <w:p w14:paraId="33043B68">
            <w:pPr>
              <w:pStyle w:val="6"/>
              <w:spacing w:before="103" w:line="207" w:lineRule="auto"/>
              <w:ind w:left="2276"/>
            </w:pPr>
            <w:r>
              <w:rPr>
                <w:spacing w:val="-2"/>
              </w:rPr>
              <w:t>检验项目</w:t>
            </w:r>
          </w:p>
        </w:tc>
        <w:tc>
          <w:tcPr>
            <w:tcW w:w="2900" w:type="dxa"/>
            <w:vAlign w:val="top"/>
          </w:tcPr>
          <w:p w14:paraId="527D9DD6">
            <w:pPr>
              <w:pStyle w:val="6"/>
              <w:spacing w:before="103" w:line="207" w:lineRule="auto"/>
              <w:ind w:left="1034"/>
            </w:pPr>
            <w:r>
              <w:rPr>
                <w:spacing w:val="-2"/>
              </w:rPr>
              <w:t>检验方法</w:t>
            </w:r>
          </w:p>
        </w:tc>
      </w:tr>
      <w:tr w14:paraId="3E7160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81" w:type="dxa"/>
            <w:vAlign w:val="top"/>
          </w:tcPr>
          <w:p w14:paraId="02B77240">
            <w:pPr>
              <w:pStyle w:val="6"/>
              <w:spacing w:before="137" w:line="175" w:lineRule="auto"/>
              <w:ind w:left="609"/>
            </w:pPr>
            <w:r>
              <w:t>1</w:t>
            </w:r>
          </w:p>
        </w:tc>
        <w:tc>
          <w:tcPr>
            <w:tcW w:w="1983" w:type="dxa"/>
            <w:vAlign w:val="top"/>
          </w:tcPr>
          <w:p w14:paraId="69251A99">
            <w:pPr>
              <w:pStyle w:val="6"/>
              <w:spacing w:before="102" w:line="206" w:lineRule="auto"/>
              <w:ind w:left="791"/>
            </w:pPr>
            <w:r>
              <w:rPr>
                <w:spacing w:val="-3"/>
              </w:rPr>
              <w:t>结构</w:t>
            </w:r>
          </w:p>
        </w:tc>
        <w:tc>
          <w:tcPr>
            <w:tcW w:w="3399" w:type="dxa"/>
            <w:vAlign w:val="top"/>
          </w:tcPr>
          <w:p w14:paraId="2655351C">
            <w:pPr>
              <w:pStyle w:val="6"/>
              <w:spacing w:before="102" w:line="206" w:lineRule="auto"/>
              <w:ind w:left="1286"/>
            </w:pPr>
            <w:r>
              <w:rPr>
                <w:spacing w:val="-1"/>
              </w:rPr>
              <w:t>佩戴装置</w:t>
            </w:r>
          </w:p>
        </w:tc>
        <w:tc>
          <w:tcPr>
            <w:tcW w:w="2900" w:type="dxa"/>
            <w:vAlign w:val="top"/>
          </w:tcPr>
          <w:p w14:paraId="38772ED4">
            <w:pPr>
              <w:pStyle w:val="6"/>
              <w:spacing w:before="102" w:line="206" w:lineRule="auto"/>
              <w:ind w:left="350"/>
            </w:pPr>
            <w:r>
              <w:rPr>
                <w:spacing w:val="-1"/>
              </w:rPr>
              <w:t>GB 24429-2009</w:t>
            </w:r>
            <w:r>
              <w:rPr>
                <w:spacing w:val="14"/>
              </w:rPr>
              <w:t xml:space="preserve"> </w:t>
            </w:r>
            <w:r>
              <w:rPr>
                <w:spacing w:val="-1"/>
              </w:rPr>
              <w:t>条款6.2</w:t>
            </w:r>
          </w:p>
        </w:tc>
      </w:tr>
      <w:tr w14:paraId="18BF42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81" w:type="dxa"/>
            <w:vAlign w:val="top"/>
          </w:tcPr>
          <w:p w14:paraId="1AAE5873">
            <w:pPr>
              <w:pStyle w:val="6"/>
              <w:spacing w:before="136" w:line="176" w:lineRule="auto"/>
              <w:ind w:left="596"/>
            </w:pPr>
            <w:r>
              <w:t>2</w:t>
            </w:r>
          </w:p>
        </w:tc>
        <w:tc>
          <w:tcPr>
            <w:tcW w:w="1983" w:type="dxa"/>
            <w:vMerge w:val="restart"/>
            <w:tcBorders>
              <w:bottom w:val="nil"/>
            </w:tcBorders>
            <w:vAlign w:val="top"/>
          </w:tcPr>
          <w:p w14:paraId="078B5506">
            <w:pPr>
              <w:spacing w:line="383" w:lineRule="auto"/>
              <w:rPr>
                <w:rFonts w:ascii="Arial"/>
                <w:sz w:val="21"/>
              </w:rPr>
            </w:pPr>
          </w:p>
          <w:p w14:paraId="793E806F">
            <w:pPr>
              <w:pStyle w:val="6"/>
              <w:spacing w:before="68" w:line="222" w:lineRule="auto"/>
              <w:ind w:left="788"/>
            </w:pPr>
            <w:r>
              <w:rPr>
                <w:spacing w:val="-3"/>
              </w:rPr>
              <w:t>性能</w:t>
            </w:r>
          </w:p>
        </w:tc>
        <w:tc>
          <w:tcPr>
            <w:tcW w:w="3399" w:type="dxa"/>
            <w:vAlign w:val="top"/>
          </w:tcPr>
          <w:p w14:paraId="3BF00DC3">
            <w:pPr>
              <w:pStyle w:val="6"/>
              <w:spacing w:before="101" w:line="207" w:lineRule="auto"/>
              <w:ind w:left="1290"/>
            </w:pPr>
            <w:r>
              <w:rPr>
                <w:spacing w:val="-3"/>
              </w:rPr>
              <w:t>头盔视野</w:t>
            </w:r>
          </w:p>
        </w:tc>
        <w:tc>
          <w:tcPr>
            <w:tcW w:w="2900" w:type="dxa"/>
            <w:vAlign w:val="top"/>
          </w:tcPr>
          <w:p w14:paraId="38DF40E6">
            <w:pPr>
              <w:pStyle w:val="6"/>
              <w:spacing w:before="101" w:line="207" w:lineRule="auto"/>
              <w:ind w:left="350"/>
            </w:pPr>
            <w:r>
              <w:rPr>
                <w:spacing w:val="-1"/>
              </w:rPr>
              <w:t>GB 24429-2009</w:t>
            </w:r>
            <w:r>
              <w:rPr>
                <w:spacing w:val="14"/>
              </w:rPr>
              <w:t xml:space="preserve"> </w:t>
            </w:r>
            <w:r>
              <w:rPr>
                <w:spacing w:val="-1"/>
              </w:rPr>
              <w:t>条款6.4</w:t>
            </w:r>
          </w:p>
        </w:tc>
      </w:tr>
      <w:tr w14:paraId="241AA9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47" w:hRule="atLeast"/>
        </w:trPr>
        <w:tc>
          <w:tcPr>
            <w:tcW w:w="1281" w:type="dxa"/>
            <w:vAlign w:val="top"/>
          </w:tcPr>
          <w:p w14:paraId="460965CB">
            <w:pPr>
              <w:pStyle w:val="6"/>
              <w:spacing w:before="137" w:line="175" w:lineRule="auto"/>
              <w:ind w:left="597"/>
            </w:pPr>
            <w:r>
              <w:t>3</w:t>
            </w:r>
          </w:p>
        </w:tc>
        <w:tc>
          <w:tcPr>
            <w:tcW w:w="1983" w:type="dxa"/>
            <w:vMerge w:val="continue"/>
            <w:tcBorders>
              <w:top w:val="nil"/>
              <w:bottom w:val="nil"/>
            </w:tcBorders>
            <w:vAlign w:val="top"/>
          </w:tcPr>
          <w:p w14:paraId="34F2455A">
            <w:pPr>
              <w:rPr>
                <w:rFonts w:ascii="Arial"/>
                <w:sz w:val="21"/>
              </w:rPr>
            </w:pPr>
          </w:p>
        </w:tc>
        <w:tc>
          <w:tcPr>
            <w:tcW w:w="3399" w:type="dxa"/>
            <w:vAlign w:val="top"/>
          </w:tcPr>
          <w:p w14:paraId="209374AA">
            <w:pPr>
              <w:pStyle w:val="6"/>
              <w:spacing w:before="101" w:line="207" w:lineRule="auto"/>
              <w:ind w:left="765"/>
            </w:pPr>
            <w:r>
              <w:rPr>
                <w:spacing w:val="-1"/>
              </w:rPr>
              <w:t>头盔佩戴装置稳定性</w:t>
            </w:r>
          </w:p>
        </w:tc>
        <w:tc>
          <w:tcPr>
            <w:tcW w:w="2900" w:type="dxa"/>
            <w:vAlign w:val="top"/>
          </w:tcPr>
          <w:p w14:paraId="0AD86C0A">
            <w:pPr>
              <w:pStyle w:val="6"/>
              <w:spacing w:before="101" w:line="207" w:lineRule="auto"/>
              <w:ind w:left="350"/>
            </w:pPr>
            <w:r>
              <w:rPr>
                <w:spacing w:val="-1"/>
              </w:rPr>
              <w:t>GB 24429-2009</w:t>
            </w:r>
            <w:r>
              <w:rPr>
                <w:spacing w:val="14"/>
              </w:rPr>
              <w:t xml:space="preserve"> </w:t>
            </w:r>
            <w:r>
              <w:rPr>
                <w:spacing w:val="-1"/>
              </w:rPr>
              <w:t>条款6.5</w:t>
            </w:r>
          </w:p>
        </w:tc>
      </w:tr>
      <w:tr w14:paraId="6DE6AF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1" w:hRule="atLeast"/>
        </w:trPr>
        <w:tc>
          <w:tcPr>
            <w:tcW w:w="1281" w:type="dxa"/>
            <w:vAlign w:val="top"/>
          </w:tcPr>
          <w:p w14:paraId="33D42765">
            <w:pPr>
              <w:pStyle w:val="6"/>
              <w:spacing w:before="138" w:line="178" w:lineRule="auto"/>
              <w:ind w:left="592"/>
            </w:pPr>
            <w:r>
              <w:t>4</w:t>
            </w:r>
          </w:p>
        </w:tc>
        <w:tc>
          <w:tcPr>
            <w:tcW w:w="1983" w:type="dxa"/>
            <w:vMerge w:val="continue"/>
            <w:tcBorders>
              <w:top w:val="nil"/>
            </w:tcBorders>
            <w:vAlign w:val="top"/>
          </w:tcPr>
          <w:p w14:paraId="6173ED71">
            <w:pPr>
              <w:rPr>
                <w:rFonts w:ascii="Arial"/>
                <w:sz w:val="21"/>
              </w:rPr>
            </w:pPr>
          </w:p>
        </w:tc>
        <w:tc>
          <w:tcPr>
            <w:tcW w:w="3399" w:type="dxa"/>
            <w:vAlign w:val="top"/>
          </w:tcPr>
          <w:p w14:paraId="75E307C0">
            <w:pPr>
              <w:pStyle w:val="6"/>
              <w:spacing w:before="103" w:line="209" w:lineRule="auto"/>
              <w:ind w:left="239"/>
            </w:pPr>
            <w:r>
              <w:rPr>
                <w:spacing w:val="-2"/>
              </w:rPr>
              <w:t>头盔吸收碰撞能量性能（低温）</w:t>
            </w:r>
          </w:p>
        </w:tc>
        <w:tc>
          <w:tcPr>
            <w:tcW w:w="2900" w:type="dxa"/>
            <w:vAlign w:val="top"/>
          </w:tcPr>
          <w:p w14:paraId="5F12D4CE">
            <w:pPr>
              <w:pStyle w:val="6"/>
              <w:spacing w:before="103" w:line="209" w:lineRule="auto"/>
              <w:ind w:left="350"/>
            </w:pPr>
            <w:r>
              <w:rPr>
                <w:spacing w:val="-1"/>
              </w:rPr>
              <w:t>GB 24429-2009</w:t>
            </w:r>
            <w:r>
              <w:rPr>
                <w:spacing w:val="14"/>
              </w:rPr>
              <w:t xml:space="preserve"> </w:t>
            </w:r>
            <w:r>
              <w:rPr>
                <w:spacing w:val="-1"/>
              </w:rPr>
              <w:t>条款6.7</w:t>
            </w:r>
          </w:p>
        </w:tc>
      </w:tr>
    </w:tbl>
    <w:p w14:paraId="6386F7F1">
      <w:pPr>
        <w:pStyle w:val="2"/>
        <w:spacing w:before="113" w:line="221" w:lineRule="auto"/>
        <w:ind w:left="611"/>
      </w:pPr>
      <w:r>
        <w:rPr>
          <w:spacing w:val="-1"/>
        </w:rPr>
        <w:t>执行企业标准、团体标准、地方标准的产品，检验项目参照上述内容执行。</w:t>
      </w:r>
    </w:p>
    <w:p w14:paraId="7971121E">
      <w:pPr>
        <w:pStyle w:val="2"/>
        <w:spacing w:before="120" w:line="305" w:lineRule="auto"/>
        <w:ind w:left="229" w:right="242" w:firstLine="385"/>
      </w:pPr>
      <w:r>
        <w:t>凡是注日期的文件，其随后所有的修改单（不包括勘误的内容）或修订版不适用</w:t>
      </w:r>
      <w:r>
        <w:rPr>
          <w:spacing w:val="-1"/>
        </w:rPr>
        <w:t>于本细则。凡是不</w:t>
      </w:r>
      <w:r>
        <w:t xml:space="preserve"> </w:t>
      </w:r>
      <w:r>
        <w:rPr>
          <w:spacing w:val="-1"/>
        </w:rPr>
        <w:t>注日期的文件，其最新版本适用于本细则。</w:t>
      </w:r>
    </w:p>
    <w:p w14:paraId="1EF14904">
      <w:pPr>
        <w:spacing w:before="243" w:line="223" w:lineRule="auto"/>
        <w:ind w:left="229"/>
        <w:rPr>
          <w:rFonts w:ascii="黑体" w:hAnsi="黑体" w:eastAsia="黑体" w:cs="黑体"/>
          <w:sz w:val="21"/>
          <w:szCs w:val="21"/>
        </w:rPr>
      </w:pPr>
      <w:r>
        <w:rPr>
          <w:rFonts w:ascii="黑体" w:hAnsi="黑体" w:eastAsia="黑体" w:cs="黑体"/>
          <w:spacing w:val="-9"/>
          <w:sz w:val="21"/>
          <w:szCs w:val="21"/>
        </w:rPr>
        <w:t>3</w:t>
      </w:r>
      <w:r>
        <w:rPr>
          <w:rFonts w:ascii="黑体" w:hAnsi="黑体" w:eastAsia="黑体" w:cs="黑体"/>
          <w:spacing w:val="-13"/>
          <w:sz w:val="21"/>
          <w:szCs w:val="21"/>
        </w:rPr>
        <w:t xml:space="preserve"> </w:t>
      </w:r>
      <w:r>
        <w:rPr>
          <w:rFonts w:ascii="黑体" w:hAnsi="黑体" w:eastAsia="黑体" w:cs="黑体"/>
          <w:spacing w:val="-9"/>
          <w:sz w:val="21"/>
          <w:szCs w:val="21"/>
        </w:rPr>
        <w:t>判定规则</w:t>
      </w:r>
    </w:p>
    <w:p w14:paraId="70BBD4A0">
      <w:pPr>
        <w:pStyle w:val="2"/>
        <w:spacing w:before="34" w:line="220" w:lineRule="auto"/>
        <w:ind w:left="233"/>
      </w:pPr>
      <w:r>
        <w:rPr>
          <w:spacing w:val="-7"/>
        </w:rPr>
        <w:t>3.1</w:t>
      </w:r>
      <w:r>
        <w:rPr>
          <w:spacing w:val="-45"/>
        </w:rPr>
        <w:t xml:space="preserve"> </w:t>
      </w:r>
      <w:r>
        <w:rPr>
          <w:spacing w:val="-7"/>
        </w:rPr>
        <w:t>依据标准</w:t>
      </w:r>
    </w:p>
    <w:p w14:paraId="46A867D8">
      <w:pPr>
        <w:pStyle w:val="2"/>
        <w:spacing w:before="105" w:line="220" w:lineRule="auto"/>
        <w:ind w:left="416"/>
      </w:pPr>
      <w:r>
        <w:rPr>
          <w:spacing w:val="-1"/>
        </w:rPr>
        <w:t>GB 24429-2009  运动头盔</w:t>
      </w:r>
      <w:r>
        <w:rPr>
          <w:spacing w:val="41"/>
        </w:rPr>
        <w:t xml:space="preserve"> </w:t>
      </w:r>
      <w:r>
        <w:rPr>
          <w:spacing w:val="-1"/>
        </w:rPr>
        <w:t>自行车、滑板、轮滑运动头盔的安全要求和</w:t>
      </w:r>
      <w:r>
        <w:rPr>
          <w:spacing w:val="-2"/>
        </w:rPr>
        <w:t>试验方法</w:t>
      </w:r>
    </w:p>
    <w:p w14:paraId="7E8C0A0D">
      <w:pPr>
        <w:pStyle w:val="2"/>
        <w:spacing w:before="117" w:line="221" w:lineRule="auto"/>
        <w:ind w:left="421"/>
      </w:pPr>
      <w:r>
        <w:t>现行有效的企业标准、团体标准、地方标准及产品明</w:t>
      </w:r>
      <w:r>
        <w:rPr>
          <w:spacing w:val="-1"/>
        </w:rPr>
        <w:t>示质量要求</w:t>
      </w:r>
    </w:p>
    <w:p w14:paraId="08D80724">
      <w:pPr>
        <w:pStyle w:val="2"/>
        <w:spacing w:before="47" w:line="221" w:lineRule="auto"/>
        <w:ind w:left="233"/>
      </w:pPr>
      <w:r>
        <w:rPr>
          <w:spacing w:val="-2"/>
        </w:rPr>
        <w:t>3.2</w:t>
      </w:r>
      <w:r>
        <w:rPr>
          <w:spacing w:val="-51"/>
        </w:rPr>
        <w:t xml:space="preserve"> </w:t>
      </w:r>
      <w:r>
        <w:rPr>
          <w:spacing w:val="-2"/>
        </w:rPr>
        <w:t>判定原则</w:t>
      </w:r>
    </w:p>
    <w:p w14:paraId="2B43654E">
      <w:pPr>
        <w:pStyle w:val="2"/>
        <w:spacing w:before="99" w:line="303" w:lineRule="auto"/>
        <w:ind w:left="22" w:firstLine="417"/>
      </w:pPr>
      <w:r>
        <w:rPr>
          <w:spacing w:val="10"/>
        </w:rPr>
        <w:t>经检验，检验项目全部合格，判定为被抽查产品所检</w:t>
      </w:r>
      <w:r>
        <w:rPr>
          <w:spacing w:val="9"/>
        </w:rPr>
        <w:t>项目未发现不合格；检验项目中任一项或一项</w:t>
      </w:r>
      <w:r>
        <w:t xml:space="preserve"> </w:t>
      </w:r>
      <w:r>
        <w:rPr>
          <w:spacing w:val="7"/>
        </w:rPr>
        <w:t>以上不合格，判定为被抽查产品不合格。</w:t>
      </w:r>
    </w:p>
    <w:p w14:paraId="5225CA2F">
      <w:pPr>
        <w:pStyle w:val="2"/>
        <w:spacing w:before="32" w:line="303" w:lineRule="auto"/>
        <w:ind w:firstLine="438"/>
      </w:pPr>
      <w:r>
        <w:rPr>
          <w:spacing w:val="10"/>
        </w:rPr>
        <w:t>若被检产品明示的质量要求高于本细则中检验项目依据</w:t>
      </w:r>
      <w:r>
        <w:rPr>
          <w:spacing w:val="9"/>
        </w:rPr>
        <w:t>的标准要求时，应按被检产品明示的质量要</w:t>
      </w:r>
      <w:r>
        <w:t xml:space="preserve"> </w:t>
      </w:r>
      <w:r>
        <w:rPr>
          <w:spacing w:val="-2"/>
        </w:rPr>
        <w:t>求判定。</w:t>
      </w:r>
    </w:p>
    <w:p w14:paraId="340CC96F">
      <w:pPr>
        <w:pStyle w:val="2"/>
        <w:spacing w:before="30" w:line="303" w:lineRule="auto"/>
        <w:ind w:firstLine="438"/>
      </w:pPr>
      <w:r>
        <w:rPr>
          <w:spacing w:val="10"/>
        </w:rPr>
        <w:t>若被检产品明示的质量要求低于本细则中检验项目依据</w:t>
      </w:r>
      <w:r>
        <w:rPr>
          <w:spacing w:val="9"/>
        </w:rPr>
        <w:t>的强制性标准要求时，应按照强制性标准要</w:t>
      </w:r>
      <w:r>
        <w:t xml:space="preserve"> </w:t>
      </w:r>
      <w:r>
        <w:rPr>
          <w:spacing w:val="-2"/>
        </w:rPr>
        <w:t>求判定。</w:t>
      </w:r>
    </w:p>
    <w:p w14:paraId="36F332B7">
      <w:pPr>
        <w:pStyle w:val="2"/>
        <w:spacing w:before="30" w:line="303" w:lineRule="auto"/>
        <w:ind w:left="18" w:firstLine="420"/>
      </w:pPr>
      <w:r>
        <w:rPr>
          <w:spacing w:val="10"/>
        </w:rPr>
        <w:t>若被检产品明示的质量要求低于或包含本细则中检验项</w:t>
      </w:r>
      <w:r>
        <w:rPr>
          <w:spacing w:val="9"/>
        </w:rPr>
        <w:t>目依据的推荐性标准要求时，应以被检产品</w:t>
      </w:r>
      <w:r>
        <w:t xml:space="preserve"> </w:t>
      </w:r>
      <w:r>
        <w:rPr>
          <w:spacing w:val="3"/>
        </w:rPr>
        <w:t>明示的质量要求判定。</w:t>
      </w:r>
    </w:p>
    <w:p w14:paraId="2C3E0E82">
      <w:pPr>
        <w:pStyle w:val="2"/>
        <w:spacing w:before="32" w:line="303" w:lineRule="auto"/>
        <w:ind w:firstLine="438"/>
      </w:pPr>
      <w:r>
        <w:rPr>
          <w:spacing w:val="10"/>
        </w:rPr>
        <w:t>若被检产品明示的质量要求缺少本细则中检验项目依</w:t>
      </w:r>
      <w:r>
        <w:rPr>
          <w:spacing w:val="9"/>
        </w:rPr>
        <w:t>据的强制性标准要求时，应按照强制性标准要</w:t>
      </w:r>
      <w:r>
        <w:t xml:space="preserve"> </w:t>
      </w:r>
      <w:r>
        <w:rPr>
          <w:spacing w:val="-2"/>
        </w:rPr>
        <w:t>求判定。</w:t>
      </w:r>
    </w:p>
    <w:p w14:paraId="6D2AC8C8">
      <w:pPr>
        <w:pStyle w:val="2"/>
        <w:spacing w:before="30" w:line="220" w:lineRule="auto"/>
        <w:ind w:right="11"/>
        <w:jc w:val="right"/>
      </w:pPr>
      <w:r>
        <w:rPr>
          <w:spacing w:val="9"/>
        </w:rPr>
        <w:t>若被检产品明示的质量要求缺少本细则中检验项目依据的推荐性标准要求时，该项目不参与判定。</w:t>
      </w:r>
    </w:p>
    <w:sectPr>
      <w:pgSz w:w="11912" w:h="16841"/>
      <w:pgMar w:top="1431" w:right="1060" w:bottom="0" w:left="969"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1C0967D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Pages>
  <Words>655</Words>
  <Characters>720</Characters>
  <TotalTime>0</TotalTime>
  <ScaleCrop>false</ScaleCrop>
  <LinksUpToDate>false</LinksUpToDate>
  <CharactersWithSpaces>744</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2025-01-22T12:54:00Z</dcterms:created>
  <dc:creator>Dell</dc:creator>
  <cp:lastModifiedBy>WPS_1645145261</cp:lastModifiedBy>
  <dcterms:modified xsi:type="dcterms:W3CDTF">2025-05-01T08:23:53Z</dcterms:modified>
  <dc:title>××产品质量监督抽查实施细则</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2025-05-01T16:23:47Z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BE219280656142C5B4B778D18D628437_12</vt:lpwstr>
  </property>
</Properties>
</file>