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274F">
      <w:pPr>
        <w:spacing w:line="320" w:lineRule="auto"/>
        <w:rPr>
          <w:rFonts w:ascii="Arial"/>
          <w:sz w:val="21"/>
        </w:rPr>
      </w:pPr>
    </w:p>
    <w:p w14:paraId="173E1FF7">
      <w:pPr>
        <w:spacing w:before="101" w:line="224" w:lineRule="auto"/>
        <w:ind w:left="1115"/>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汽车制动液产品质量监督抽查实施细则</w:t>
      </w:r>
    </w:p>
    <w:p w14:paraId="36B50478">
      <w:pPr>
        <w:spacing w:before="249" w:line="224" w:lineRule="auto"/>
        <w:ind w:left="3344"/>
        <w:rPr>
          <w:rFonts w:ascii="黑体" w:hAnsi="黑体" w:eastAsia="黑体" w:cs="黑体"/>
          <w:sz w:val="31"/>
          <w:szCs w:val="31"/>
        </w:rPr>
      </w:pPr>
      <w:r>
        <w:rPr>
          <w:rFonts w:ascii="黑体" w:hAnsi="黑体" w:eastAsia="黑体" w:cs="黑体"/>
          <w:spacing w:val="-3"/>
          <w:sz w:val="31"/>
          <w:szCs w:val="31"/>
        </w:rPr>
        <w:t>（</w:t>
      </w:r>
      <w:r>
        <w:rPr>
          <w:rFonts w:ascii="Times New Roman" w:hAnsi="Times New Roman" w:eastAsia="Times New Roman" w:cs="Times New Roman"/>
          <w:spacing w:val="-3"/>
          <w:sz w:val="31"/>
          <w:szCs w:val="31"/>
        </w:rPr>
        <w:t>2025</w:t>
      </w:r>
      <w:r>
        <w:rPr>
          <w:rFonts w:ascii="Times New Roman" w:hAnsi="Times New Roman" w:eastAsia="Times New Roman" w:cs="Times New Roman"/>
          <w:spacing w:val="17"/>
          <w:sz w:val="31"/>
          <w:szCs w:val="31"/>
        </w:rPr>
        <w:t xml:space="preserve"> </w:t>
      </w:r>
      <w:r>
        <w:rPr>
          <w:rFonts w:ascii="黑体" w:hAnsi="黑体" w:eastAsia="黑体" w:cs="黑体"/>
          <w:spacing w:val="-3"/>
          <w:sz w:val="31"/>
          <w:szCs w:val="31"/>
        </w:rPr>
        <w:t>年版）</w:t>
      </w:r>
    </w:p>
    <w:p w14:paraId="487BCF2E">
      <w:pPr>
        <w:spacing w:line="316" w:lineRule="auto"/>
        <w:rPr>
          <w:rFonts w:ascii="Arial"/>
          <w:sz w:val="21"/>
        </w:rPr>
      </w:pPr>
    </w:p>
    <w:p w14:paraId="6F35387A">
      <w:pPr>
        <w:spacing w:line="316" w:lineRule="auto"/>
        <w:rPr>
          <w:rFonts w:ascii="Arial"/>
          <w:sz w:val="21"/>
        </w:rPr>
      </w:pPr>
    </w:p>
    <w:p w14:paraId="354351E8">
      <w:pPr>
        <w:pStyle w:val="2"/>
        <w:spacing w:before="68" w:line="221" w:lineRule="auto"/>
        <w:ind w:left="10"/>
        <w:outlineLvl w:val="0"/>
      </w:pPr>
      <w:r>
        <w:rPr>
          <w:rFonts w:ascii="Times New Roman" w:hAnsi="Times New Roman" w:eastAsia="Times New Roman" w:cs="Times New Roman"/>
          <w:b/>
          <w:bCs/>
          <w:spacing w:val="-5"/>
        </w:rPr>
        <w:t>1</w:t>
      </w:r>
      <w:r>
        <w:rPr>
          <w:rFonts w:ascii="Times New Roman" w:hAnsi="Times New Roman" w:eastAsia="Times New Roman" w:cs="Times New Roman"/>
          <w:b/>
          <w:bCs/>
          <w:spacing w:val="3"/>
        </w:rPr>
        <w:t xml:space="preserve">  </w:t>
      </w:r>
      <w:r>
        <w:rPr>
          <w:b/>
          <w:bCs/>
          <w:spacing w:val="-5"/>
        </w:rPr>
        <w:t>抽样方法</w:t>
      </w:r>
    </w:p>
    <w:p w14:paraId="254D5699">
      <w:pPr>
        <w:pStyle w:val="2"/>
        <w:spacing w:before="189" w:line="374" w:lineRule="auto"/>
        <w:ind w:left="436" w:right="2349"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12733E11">
      <w:pPr>
        <w:pStyle w:val="2"/>
        <w:spacing w:before="28" w:line="375" w:lineRule="auto"/>
        <w:ind w:left="5" w:right="4" w:firstLine="421"/>
        <w:jc w:val="both"/>
      </w:pPr>
      <w:r>
        <w:rPr>
          <w:spacing w:val="-2"/>
        </w:rPr>
        <w:t>取总量不小于</w:t>
      </w:r>
      <w:r>
        <w:rPr>
          <w:spacing w:val="-36"/>
        </w:rPr>
        <w:t xml:space="preserve"> </w:t>
      </w:r>
      <w:r>
        <w:rPr>
          <w:rFonts w:ascii="Times New Roman" w:hAnsi="Times New Roman" w:eastAsia="Times New Roman" w:cs="Times New Roman"/>
          <w:spacing w:val="-2"/>
        </w:rPr>
        <w:t>2kg,</w:t>
      </w:r>
      <w:r>
        <w:rPr>
          <w:spacing w:val="-2"/>
        </w:rPr>
        <w:t>不小于</w:t>
      </w:r>
      <w:r>
        <w:rPr>
          <w:spacing w:val="-37"/>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0"/>
          <w:w w:val="101"/>
        </w:rPr>
        <w:t xml:space="preserve"> </w:t>
      </w:r>
      <w:r>
        <w:rPr>
          <w:spacing w:val="-2"/>
        </w:rPr>
        <w:t xml:space="preserve">个独立包装，其中检验样品 </w:t>
      </w:r>
      <w:r>
        <w:rPr>
          <w:rFonts w:ascii="Times New Roman" w:hAnsi="Times New Roman" w:eastAsia="Times New Roman" w:cs="Times New Roman"/>
          <w:spacing w:val="-2"/>
        </w:rPr>
        <w:t>1kg,</w:t>
      </w:r>
      <w:r>
        <w:rPr>
          <w:spacing w:val="-3"/>
        </w:rPr>
        <w:t xml:space="preserve">备用样品 </w:t>
      </w:r>
      <w:r>
        <w:rPr>
          <w:rFonts w:ascii="Times New Roman" w:hAnsi="Times New Roman" w:eastAsia="Times New Roman" w:cs="Times New Roman"/>
          <w:spacing w:val="-3"/>
        </w:rPr>
        <w:t>1kg</w:t>
      </w:r>
      <w:r>
        <w:rPr>
          <w:spacing w:val="-3"/>
        </w:rPr>
        <w:t>，盛装在合适的</w:t>
      </w:r>
      <w:r>
        <w:t xml:space="preserve"> 密封容器中。盛装石油产品所用的容器，必须完整、清洁、不漏、经检查符合要求后，方能使 </w:t>
      </w:r>
      <w:r>
        <w:rPr>
          <w:spacing w:val="-10"/>
        </w:rPr>
        <w:t>用。</w:t>
      </w:r>
    </w:p>
    <w:p w14:paraId="28719E91">
      <w:pPr>
        <w:spacing w:line="410" w:lineRule="auto"/>
        <w:rPr>
          <w:rFonts w:ascii="Arial"/>
          <w:sz w:val="21"/>
        </w:rPr>
      </w:pPr>
    </w:p>
    <w:p w14:paraId="72404F76">
      <w:pPr>
        <w:pStyle w:val="2"/>
        <w:spacing w:before="68" w:line="220" w:lineRule="auto"/>
        <w:ind w:left="1"/>
      </w:pPr>
      <w:r>
        <w:rPr>
          <w:rFonts w:ascii="Times New Roman" w:hAnsi="Times New Roman" w:eastAsia="Times New Roman" w:cs="Times New Roman"/>
          <w:b/>
          <w:bCs/>
          <w:spacing w:val="-4"/>
        </w:rPr>
        <w:t>2</w:t>
      </w:r>
      <w:r>
        <w:rPr>
          <w:rFonts w:ascii="Times New Roman" w:hAnsi="Times New Roman" w:eastAsia="Times New Roman" w:cs="Times New Roman"/>
          <w:b/>
          <w:bCs/>
          <w:spacing w:val="10"/>
        </w:rPr>
        <w:t xml:space="preserve"> </w:t>
      </w:r>
      <w:r>
        <w:rPr>
          <w:b/>
          <w:bCs/>
          <w:spacing w:val="-4"/>
        </w:rPr>
        <w:t>检验依据</w:t>
      </w:r>
    </w:p>
    <w:p w14:paraId="09B60F99">
      <w:pPr>
        <w:spacing w:line="20" w:lineRule="exact"/>
      </w:pPr>
    </w:p>
    <w:tbl>
      <w:tblPr>
        <w:tblStyle w:val="5"/>
        <w:tblW w:w="7566"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2267"/>
        <w:gridCol w:w="2125"/>
        <w:gridCol w:w="2279"/>
      </w:tblGrid>
      <w:tr w14:paraId="4C34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95" w:type="dxa"/>
            <w:vAlign w:val="top"/>
          </w:tcPr>
          <w:p w14:paraId="23D1554E">
            <w:pPr>
              <w:spacing w:before="144" w:line="222" w:lineRule="auto"/>
              <w:ind w:left="239"/>
              <w:rPr>
                <w:rFonts w:ascii="宋体" w:hAnsi="宋体" w:eastAsia="宋体" w:cs="宋体"/>
                <w:sz w:val="21"/>
                <w:szCs w:val="21"/>
              </w:rPr>
            </w:pPr>
            <w:r>
              <w:rPr>
                <w:rFonts w:ascii="宋体" w:hAnsi="宋体" w:eastAsia="宋体" w:cs="宋体"/>
                <w:spacing w:val="-2"/>
                <w:sz w:val="21"/>
                <w:szCs w:val="21"/>
              </w:rPr>
              <w:t>序号</w:t>
            </w:r>
          </w:p>
        </w:tc>
        <w:tc>
          <w:tcPr>
            <w:tcW w:w="2267" w:type="dxa"/>
            <w:vAlign w:val="top"/>
          </w:tcPr>
          <w:p w14:paraId="765BCBD1">
            <w:pPr>
              <w:spacing w:before="144" w:line="221" w:lineRule="auto"/>
              <w:ind w:left="716"/>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52FDD2AC">
            <w:pPr>
              <w:spacing w:before="144" w:line="221" w:lineRule="auto"/>
              <w:ind w:left="648"/>
              <w:rPr>
                <w:rFonts w:ascii="宋体" w:hAnsi="宋体" w:eastAsia="宋体" w:cs="宋体"/>
                <w:sz w:val="21"/>
                <w:szCs w:val="21"/>
              </w:rPr>
            </w:pPr>
            <w:r>
              <w:rPr>
                <w:rFonts w:ascii="宋体" w:hAnsi="宋体" w:eastAsia="宋体" w:cs="宋体"/>
                <w:spacing w:val="-2"/>
                <w:sz w:val="21"/>
                <w:szCs w:val="21"/>
              </w:rPr>
              <w:t>检验标准</w:t>
            </w:r>
          </w:p>
        </w:tc>
        <w:tc>
          <w:tcPr>
            <w:tcW w:w="2279" w:type="dxa"/>
            <w:vAlign w:val="top"/>
          </w:tcPr>
          <w:p w14:paraId="21E6D3AC">
            <w:pPr>
              <w:spacing w:before="144" w:line="221" w:lineRule="auto"/>
              <w:ind w:left="885"/>
              <w:rPr>
                <w:rFonts w:ascii="宋体" w:hAnsi="宋体" w:eastAsia="宋体" w:cs="宋体"/>
                <w:sz w:val="21"/>
                <w:szCs w:val="21"/>
              </w:rPr>
            </w:pPr>
            <w:r>
              <w:rPr>
                <w:rFonts w:ascii="宋体" w:hAnsi="宋体" w:eastAsia="宋体" w:cs="宋体"/>
                <w:spacing w:val="-2"/>
                <w:sz w:val="21"/>
                <w:szCs w:val="21"/>
              </w:rPr>
              <w:t>检验方法</w:t>
            </w:r>
          </w:p>
        </w:tc>
      </w:tr>
      <w:tr w14:paraId="63A4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95" w:type="dxa"/>
            <w:vAlign w:val="top"/>
          </w:tcPr>
          <w:p w14:paraId="4BE20C20">
            <w:pPr>
              <w:pStyle w:val="6"/>
              <w:spacing w:before="160" w:line="187" w:lineRule="auto"/>
              <w:ind w:left="415"/>
            </w:pPr>
            <w:r>
              <w:t>1</w:t>
            </w:r>
          </w:p>
        </w:tc>
        <w:tc>
          <w:tcPr>
            <w:tcW w:w="2267" w:type="dxa"/>
            <w:vAlign w:val="top"/>
          </w:tcPr>
          <w:p w14:paraId="2FAE0D03">
            <w:pPr>
              <w:pStyle w:val="6"/>
              <w:spacing w:before="139" w:line="235" w:lineRule="auto"/>
              <w:ind w:left="241"/>
              <w:rPr>
                <w:rFonts w:ascii="宋体" w:hAnsi="宋体" w:eastAsia="宋体" w:cs="宋体"/>
              </w:rPr>
            </w:pPr>
            <w:r>
              <w:rPr>
                <w:rFonts w:ascii="宋体" w:hAnsi="宋体" w:eastAsia="宋体" w:cs="宋体"/>
                <w:spacing w:val="-1"/>
              </w:rPr>
              <w:t>运动黏度（</w:t>
            </w:r>
            <w:r>
              <w:rPr>
                <w:spacing w:val="-1"/>
              </w:rPr>
              <w:t>100℃</w:t>
            </w:r>
            <w:r>
              <w:rPr>
                <w:rFonts w:ascii="宋体" w:hAnsi="宋体" w:eastAsia="宋体" w:cs="宋体"/>
                <w:spacing w:val="-1"/>
              </w:rPr>
              <w:t>)</w:t>
            </w:r>
          </w:p>
        </w:tc>
        <w:tc>
          <w:tcPr>
            <w:tcW w:w="2125" w:type="dxa"/>
            <w:vAlign w:val="top"/>
          </w:tcPr>
          <w:p w14:paraId="6DC47FBE">
            <w:pPr>
              <w:pStyle w:val="6"/>
              <w:spacing w:before="160" w:line="187" w:lineRule="auto"/>
              <w:ind w:left="316"/>
            </w:pPr>
            <w:r>
              <w:rPr>
                <w:spacing w:val="-3"/>
              </w:rPr>
              <w:t>GB</w:t>
            </w:r>
            <w:r>
              <w:rPr>
                <w:spacing w:val="31"/>
                <w:w w:val="101"/>
              </w:rPr>
              <w:t xml:space="preserve"> </w:t>
            </w:r>
            <w:r>
              <w:rPr>
                <w:spacing w:val="-3"/>
              </w:rPr>
              <w:t>12981—2012</w:t>
            </w:r>
          </w:p>
        </w:tc>
        <w:tc>
          <w:tcPr>
            <w:tcW w:w="2279" w:type="dxa"/>
            <w:vAlign w:val="top"/>
          </w:tcPr>
          <w:p w14:paraId="2E06EBF6">
            <w:pPr>
              <w:pStyle w:val="6"/>
              <w:spacing w:before="157" w:line="182" w:lineRule="auto"/>
              <w:ind w:left="490"/>
            </w:pPr>
            <w:r>
              <w:rPr>
                <w:spacing w:val="-1"/>
              </w:rPr>
              <w:t>GB/T 265</w:t>
            </w:r>
            <w:r>
              <w:rPr>
                <w:rFonts w:ascii="宋体" w:hAnsi="宋体" w:eastAsia="宋体" w:cs="宋体"/>
                <w:spacing w:val="-1"/>
              </w:rPr>
              <w:t>—</w:t>
            </w:r>
            <w:r>
              <w:rPr>
                <w:spacing w:val="-1"/>
              </w:rPr>
              <w:t>1988</w:t>
            </w:r>
          </w:p>
        </w:tc>
      </w:tr>
      <w:tr w14:paraId="6919D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5" w:type="dxa"/>
            <w:vAlign w:val="top"/>
          </w:tcPr>
          <w:p w14:paraId="52FBD234">
            <w:pPr>
              <w:pStyle w:val="6"/>
              <w:spacing w:before="159" w:line="187" w:lineRule="auto"/>
              <w:ind w:left="395"/>
            </w:pPr>
            <w:r>
              <w:t>2</w:t>
            </w:r>
          </w:p>
        </w:tc>
        <w:tc>
          <w:tcPr>
            <w:tcW w:w="2267" w:type="dxa"/>
            <w:vAlign w:val="top"/>
          </w:tcPr>
          <w:p w14:paraId="3305EAE7">
            <w:pPr>
              <w:spacing w:before="135" w:line="221" w:lineRule="auto"/>
              <w:ind w:left="506"/>
              <w:rPr>
                <w:rFonts w:ascii="宋体" w:hAnsi="宋体" w:eastAsia="宋体" w:cs="宋体"/>
                <w:sz w:val="21"/>
                <w:szCs w:val="21"/>
              </w:rPr>
            </w:pPr>
            <w:r>
              <w:rPr>
                <w:rFonts w:ascii="宋体" w:hAnsi="宋体" w:eastAsia="宋体" w:cs="宋体"/>
                <w:spacing w:val="-1"/>
                <w:sz w:val="21"/>
                <w:szCs w:val="21"/>
              </w:rPr>
              <w:t>平衡回流沸点</w:t>
            </w:r>
          </w:p>
        </w:tc>
        <w:tc>
          <w:tcPr>
            <w:tcW w:w="2125" w:type="dxa"/>
            <w:vAlign w:val="top"/>
          </w:tcPr>
          <w:p w14:paraId="56EFE162">
            <w:pPr>
              <w:pStyle w:val="6"/>
              <w:spacing w:before="159" w:line="179" w:lineRule="auto"/>
              <w:ind w:left="316"/>
            </w:pPr>
            <w:r>
              <w:rPr>
                <w:spacing w:val="-3"/>
              </w:rPr>
              <w:t>GB</w:t>
            </w:r>
            <w:r>
              <w:rPr>
                <w:spacing w:val="31"/>
              </w:rPr>
              <w:t xml:space="preserve"> </w:t>
            </w:r>
            <w:r>
              <w:rPr>
                <w:spacing w:val="-3"/>
              </w:rPr>
              <w:t>12981</w:t>
            </w:r>
            <w:r>
              <w:rPr>
                <w:rFonts w:ascii="宋体" w:hAnsi="宋体" w:eastAsia="宋体" w:cs="宋体"/>
                <w:spacing w:val="-3"/>
              </w:rPr>
              <w:t>—</w:t>
            </w:r>
            <w:r>
              <w:rPr>
                <w:spacing w:val="-3"/>
              </w:rPr>
              <w:t>2012</w:t>
            </w:r>
          </w:p>
        </w:tc>
        <w:tc>
          <w:tcPr>
            <w:tcW w:w="2279" w:type="dxa"/>
            <w:vAlign w:val="top"/>
          </w:tcPr>
          <w:p w14:paraId="7B20AA10">
            <w:pPr>
              <w:pStyle w:val="6"/>
              <w:spacing w:before="155" w:line="182" w:lineRule="auto"/>
              <w:ind w:left="180"/>
            </w:pPr>
            <w:r>
              <w:t>NB/SH/T 0430</w:t>
            </w:r>
            <w:r>
              <w:rPr>
                <w:rFonts w:ascii="宋体" w:hAnsi="宋体" w:eastAsia="宋体" w:cs="宋体"/>
              </w:rPr>
              <w:t>—</w:t>
            </w:r>
            <w:r>
              <w:t>2019</w:t>
            </w:r>
          </w:p>
        </w:tc>
      </w:tr>
      <w:tr w14:paraId="7455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895" w:type="dxa"/>
            <w:vAlign w:val="top"/>
          </w:tcPr>
          <w:p w14:paraId="07D36BAE">
            <w:pPr>
              <w:pStyle w:val="6"/>
              <w:spacing w:before="160" w:line="187" w:lineRule="auto"/>
              <w:ind w:left="399"/>
            </w:pPr>
            <w:r>
              <w:t>3</w:t>
            </w:r>
          </w:p>
        </w:tc>
        <w:tc>
          <w:tcPr>
            <w:tcW w:w="2267" w:type="dxa"/>
            <w:vAlign w:val="top"/>
          </w:tcPr>
          <w:p w14:paraId="7007E7B4">
            <w:pPr>
              <w:spacing w:before="136" w:line="221" w:lineRule="auto"/>
              <w:ind w:left="401"/>
              <w:rPr>
                <w:rFonts w:ascii="宋体" w:hAnsi="宋体" w:eastAsia="宋体" w:cs="宋体"/>
                <w:sz w:val="21"/>
                <w:szCs w:val="21"/>
              </w:rPr>
            </w:pPr>
            <w:r>
              <w:rPr>
                <w:rFonts w:ascii="宋体" w:hAnsi="宋体" w:eastAsia="宋体" w:cs="宋体"/>
                <w:spacing w:val="-1"/>
                <w:sz w:val="21"/>
                <w:szCs w:val="21"/>
              </w:rPr>
              <w:t>湿平衡回流沸点</w:t>
            </w:r>
          </w:p>
        </w:tc>
        <w:tc>
          <w:tcPr>
            <w:tcW w:w="2125" w:type="dxa"/>
            <w:vAlign w:val="top"/>
          </w:tcPr>
          <w:p w14:paraId="1A8408C6">
            <w:pPr>
              <w:pStyle w:val="6"/>
              <w:spacing w:before="160" w:line="187" w:lineRule="auto"/>
              <w:ind w:left="323"/>
            </w:pPr>
            <w:r>
              <w:rPr>
                <w:spacing w:val="-3"/>
              </w:rPr>
              <w:t>GB</w:t>
            </w:r>
            <w:r>
              <w:rPr>
                <w:spacing w:val="31"/>
                <w:w w:val="101"/>
              </w:rPr>
              <w:t xml:space="preserve"> </w:t>
            </w:r>
            <w:r>
              <w:rPr>
                <w:spacing w:val="-3"/>
              </w:rPr>
              <w:t>12981—2012</w:t>
            </w:r>
          </w:p>
        </w:tc>
        <w:tc>
          <w:tcPr>
            <w:tcW w:w="2279" w:type="dxa"/>
            <w:vAlign w:val="top"/>
          </w:tcPr>
          <w:p w14:paraId="6ACA4F13">
            <w:pPr>
              <w:pStyle w:val="6"/>
              <w:spacing w:before="160" w:line="179" w:lineRule="auto"/>
              <w:ind w:left="550"/>
            </w:pPr>
            <w:r>
              <w:rPr>
                <w:spacing w:val="-3"/>
              </w:rPr>
              <w:t>GB</w:t>
            </w:r>
            <w:r>
              <w:rPr>
                <w:spacing w:val="31"/>
              </w:rPr>
              <w:t xml:space="preserve"> </w:t>
            </w:r>
            <w:r>
              <w:rPr>
                <w:spacing w:val="-3"/>
              </w:rPr>
              <w:t>12981</w:t>
            </w:r>
            <w:r>
              <w:rPr>
                <w:rFonts w:ascii="宋体" w:hAnsi="宋体" w:eastAsia="宋体" w:cs="宋体"/>
                <w:spacing w:val="-3"/>
              </w:rPr>
              <w:t>—</w:t>
            </w:r>
            <w:r>
              <w:rPr>
                <w:spacing w:val="-3"/>
              </w:rPr>
              <w:t>2012</w:t>
            </w:r>
          </w:p>
        </w:tc>
      </w:tr>
      <w:tr w14:paraId="387C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5" w:type="dxa"/>
            <w:vAlign w:val="top"/>
          </w:tcPr>
          <w:p w14:paraId="5195925F">
            <w:pPr>
              <w:pStyle w:val="6"/>
              <w:spacing w:before="181" w:line="187" w:lineRule="auto"/>
              <w:ind w:left="394"/>
            </w:pPr>
            <w:r>
              <w:t>4</w:t>
            </w:r>
          </w:p>
        </w:tc>
        <w:tc>
          <w:tcPr>
            <w:tcW w:w="2267" w:type="dxa"/>
            <w:vAlign w:val="top"/>
          </w:tcPr>
          <w:p w14:paraId="60C5DCD8">
            <w:pPr>
              <w:pStyle w:val="6"/>
              <w:spacing w:before="156" w:line="214" w:lineRule="auto"/>
              <w:ind w:left="943"/>
              <w:rPr>
                <w:rFonts w:ascii="宋体" w:hAnsi="宋体" w:eastAsia="宋体" w:cs="宋体"/>
              </w:rPr>
            </w:pPr>
            <w:r>
              <w:t>pH</w:t>
            </w:r>
            <w:r>
              <w:rPr>
                <w:spacing w:val="7"/>
              </w:rPr>
              <w:t xml:space="preserve"> </w:t>
            </w:r>
            <w:r>
              <w:rPr>
                <w:rFonts w:ascii="宋体" w:hAnsi="宋体" w:eastAsia="宋体" w:cs="宋体"/>
                <w:spacing w:val="1"/>
              </w:rPr>
              <w:t>值</w:t>
            </w:r>
          </w:p>
        </w:tc>
        <w:tc>
          <w:tcPr>
            <w:tcW w:w="2125" w:type="dxa"/>
            <w:vAlign w:val="top"/>
          </w:tcPr>
          <w:p w14:paraId="2CAB8224">
            <w:pPr>
              <w:pStyle w:val="6"/>
              <w:spacing w:before="180" w:line="187" w:lineRule="auto"/>
              <w:ind w:left="323"/>
            </w:pPr>
            <w:r>
              <w:rPr>
                <w:spacing w:val="-3"/>
              </w:rPr>
              <w:t>GB</w:t>
            </w:r>
            <w:r>
              <w:rPr>
                <w:spacing w:val="31"/>
                <w:w w:val="101"/>
              </w:rPr>
              <w:t xml:space="preserve"> </w:t>
            </w:r>
            <w:r>
              <w:rPr>
                <w:spacing w:val="-3"/>
              </w:rPr>
              <w:t>12981—2012</w:t>
            </w:r>
          </w:p>
        </w:tc>
        <w:tc>
          <w:tcPr>
            <w:tcW w:w="2279" w:type="dxa"/>
            <w:vAlign w:val="top"/>
          </w:tcPr>
          <w:p w14:paraId="47AB38A1">
            <w:pPr>
              <w:pStyle w:val="6"/>
              <w:spacing w:before="180" w:line="179" w:lineRule="auto"/>
              <w:ind w:left="550"/>
            </w:pPr>
            <w:r>
              <w:rPr>
                <w:spacing w:val="-3"/>
              </w:rPr>
              <w:t>GB</w:t>
            </w:r>
            <w:r>
              <w:rPr>
                <w:spacing w:val="31"/>
              </w:rPr>
              <w:t xml:space="preserve"> </w:t>
            </w:r>
            <w:r>
              <w:rPr>
                <w:spacing w:val="-3"/>
              </w:rPr>
              <w:t>12981</w:t>
            </w:r>
            <w:r>
              <w:rPr>
                <w:rFonts w:ascii="宋体" w:hAnsi="宋体" w:eastAsia="宋体" w:cs="宋体"/>
                <w:spacing w:val="-3"/>
              </w:rPr>
              <w:t>—</w:t>
            </w:r>
            <w:r>
              <w:rPr>
                <w:spacing w:val="-3"/>
              </w:rPr>
              <w:t>2012</w:t>
            </w:r>
          </w:p>
        </w:tc>
      </w:tr>
    </w:tbl>
    <w:p w14:paraId="44ED90C1">
      <w:pPr>
        <w:pStyle w:val="2"/>
        <w:spacing w:before="170" w:line="221" w:lineRule="auto"/>
        <w:ind w:left="424"/>
      </w:pPr>
      <w:r>
        <w:t>执行企业标准、团体标准、地方标准的产品，检</w:t>
      </w:r>
      <w:r>
        <w:rPr>
          <w:spacing w:val="-1"/>
        </w:rPr>
        <w:t>验项目、检验方法参照上述内容执行。</w:t>
      </w:r>
    </w:p>
    <w:p w14:paraId="3C5FF9BB">
      <w:pPr>
        <w:pStyle w:val="2"/>
        <w:spacing w:before="189" w:line="372" w:lineRule="auto"/>
        <w:ind w:left="9" w:right="33" w:firstLine="419"/>
      </w:pPr>
      <w:r>
        <w:rPr>
          <w:spacing w:val="-6"/>
        </w:rPr>
        <w:t>凡是注日期的文件，其随后所有的修改单（不包括勘误的内容）或修订版不适用于本</w:t>
      </w:r>
      <w:r>
        <w:rPr>
          <w:spacing w:val="-7"/>
        </w:rPr>
        <w:t>细则。</w:t>
      </w:r>
      <w:r>
        <w:t xml:space="preserve"> </w:t>
      </w:r>
      <w:r>
        <w:rPr>
          <w:spacing w:val="-1"/>
        </w:rPr>
        <w:t>凡是不注日期的文件，其最新版本适用于本细</w:t>
      </w:r>
      <w:r>
        <w:rPr>
          <w:spacing w:val="-2"/>
        </w:rPr>
        <w:t>则。</w:t>
      </w:r>
    </w:p>
    <w:p w14:paraId="7E6022C0">
      <w:pPr>
        <w:spacing w:line="403" w:lineRule="auto"/>
        <w:rPr>
          <w:rFonts w:ascii="Arial"/>
          <w:sz w:val="21"/>
        </w:rPr>
      </w:pPr>
    </w:p>
    <w:p w14:paraId="5F938875">
      <w:pPr>
        <w:pStyle w:val="2"/>
        <w:spacing w:before="68" w:line="221" w:lineRule="auto"/>
        <w:outlineLvl w:val="0"/>
      </w:pPr>
      <w:r>
        <w:rPr>
          <w:rFonts w:ascii="Times New Roman" w:hAnsi="Times New Roman" w:eastAsia="Times New Roman" w:cs="Times New Roman"/>
          <w:b/>
          <w:bCs/>
          <w:spacing w:val="-1"/>
        </w:rPr>
        <w:t xml:space="preserve">3  </w:t>
      </w:r>
      <w:r>
        <w:rPr>
          <w:b/>
          <w:bCs/>
          <w:spacing w:val="-1"/>
        </w:rPr>
        <w:t>判定规则</w:t>
      </w:r>
    </w:p>
    <w:p w14:paraId="388F464B">
      <w:pPr>
        <w:pStyle w:val="2"/>
        <w:spacing w:before="188" w:line="220" w:lineRule="auto"/>
        <w:ind w:left="5"/>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652B7B5D">
      <w:pPr>
        <w:pStyle w:val="2"/>
        <w:spacing w:before="198" w:line="220" w:lineRule="auto"/>
        <w:ind w:left="423"/>
      </w:pPr>
      <w:r>
        <w:rPr>
          <w:rFonts w:ascii="Times New Roman" w:hAnsi="Times New Roman" w:eastAsia="Times New Roman" w:cs="Times New Roman"/>
          <w:spacing w:val="-2"/>
        </w:rPr>
        <w:t>GB</w:t>
      </w:r>
      <w:r>
        <w:rPr>
          <w:rFonts w:ascii="Times New Roman" w:hAnsi="Times New Roman" w:eastAsia="Times New Roman" w:cs="Times New Roman"/>
          <w:spacing w:val="39"/>
        </w:rPr>
        <w:t xml:space="preserve"> </w:t>
      </w:r>
      <w:r>
        <w:rPr>
          <w:rFonts w:ascii="Times New Roman" w:hAnsi="Times New Roman" w:eastAsia="Times New Roman" w:cs="Times New Roman"/>
          <w:spacing w:val="-2"/>
        </w:rPr>
        <w:t>12981</w:t>
      </w:r>
      <w:r>
        <w:rPr>
          <w:spacing w:val="-2"/>
        </w:rPr>
        <w:t>—</w:t>
      </w:r>
      <w:r>
        <w:rPr>
          <w:rFonts w:ascii="Times New Roman" w:hAnsi="Times New Roman" w:eastAsia="Times New Roman" w:cs="Times New Roman"/>
          <w:spacing w:val="-2"/>
        </w:rPr>
        <w:t xml:space="preserve">2012  </w:t>
      </w:r>
      <w:r>
        <w:rPr>
          <w:spacing w:val="-2"/>
        </w:rPr>
        <w:t>机动车辆制动液</w:t>
      </w:r>
    </w:p>
    <w:p w14:paraId="0B9F1E59">
      <w:pPr>
        <w:pStyle w:val="2"/>
        <w:spacing w:before="182" w:line="373" w:lineRule="auto"/>
        <w:ind w:left="5" w:right="2378" w:firstLine="361"/>
      </w:pPr>
      <w:r>
        <w:t>现行有效的企业标准、团体标准、地方标准及产品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6F2E1C36">
      <w:pPr>
        <w:pStyle w:val="2"/>
        <w:spacing w:before="31" w:line="373" w:lineRule="auto"/>
        <w:ind w:left="8"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4A8929F9">
      <w:pPr>
        <w:pStyle w:val="2"/>
        <w:spacing w:before="32" w:line="375" w:lineRule="auto"/>
        <w:ind w:left="22" w:firstLine="401"/>
      </w:pPr>
      <w:r>
        <w:t>若被检产品明示的质量要求高于本细则中检验项目依据的标准要求时，应按被检产品明示</w:t>
      </w:r>
      <w:r>
        <w:rPr>
          <w:spacing w:val="6"/>
        </w:rPr>
        <w:t xml:space="preserve"> </w:t>
      </w:r>
      <w:r>
        <w:rPr>
          <w:spacing w:val="-3"/>
        </w:rPr>
        <w:t>的质量要求判定。</w:t>
      </w:r>
    </w:p>
    <w:p w14:paraId="44B977A1">
      <w:pPr>
        <w:spacing w:line="375" w:lineRule="auto"/>
        <w:sectPr>
          <w:pgSz w:w="11907" w:h="16839"/>
          <w:pgMar w:top="1431" w:right="1637" w:bottom="0" w:left="1647" w:header="0" w:footer="0" w:gutter="0"/>
          <w:cols w:space="720" w:num="1"/>
        </w:sectPr>
      </w:pPr>
    </w:p>
    <w:p w14:paraId="7F182872">
      <w:pPr>
        <w:spacing w:line="371" w:lineRule="auto"/>
        <w:rPr>
          <w:rFonts w:ascii="Arial"/>
          <w:sz w:val="21"/>
        </w:rPr>
      </w:pPr>
    </w:p>
    <w:p w14:paraId="05BFA164">
      <w:pPr>
        <w:pStyle w:val="2"/>
        <w:spacing w:before="68"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579575C2">
      <w:pPr>
        <w:pStyle w:val="2"/>
        <w:spacing w:before="29" w:line="375"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2C35D8F5">
      <w:pPr>
        <w:pStyle w:val="2"/>
        <w:spacing w:before="28" w:line="373"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37FB7E9D">
      <w:pPr>
        <w:pStyle w:val="2"/>
        <w:spacing w:before="31" w:line="374"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5"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8139">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B279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677</Words>
  <Characters>779</Characters>
  <TotalTime>0</TotalTime>
  <ScaleCrop>false</ScaleCrop>
  <LinksUpToDate>false</LinksUpToDate>
  <CharactersWithSpaces>815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2025-02-24T17:11:00Z</dcterms:created>
  <dc:creator>User</dc:creator>
  <cp:lastModifiedBy>WPS_1645145261</cp:lastModifiedBy>
  <dcterms:modified xsi:type="dcterms:W3CDTF">2025-05-01T08:16:07Z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2025-05-01T16:16:00Z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DC84A4C5B8D74718A423BBCE7A9ADE3C_12</vt:lpwstr>
  </property>
</Properties>
</file>