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87CA9">
      <w:pPr>
        <w:spacing w:line="301" w:lineRule="auto"/>
        <w:rPr>
          <w:rFonts w:ascii="Arial"/>
          <w:sz w:val="21"/>
        </w:rPr>
      </w:pPr>
    </w:p>
    <w:p w14:paraId="2F900AFE">
      <w:pPr>
        <w:spacing w:before="133" w:line="178" w:lineRule="auto"/>
        <w:ind w:left="1286"/>
        <w:outlineLvl w:val="0"/>
        <w:rPr>
          <w:rFonts w:ascii="微软雅黑" w:hAnsi="微软雅黑" w:eastAsia="微软雅黑" w:cs="微软雅黑"/>
          <w:sz w:val="31"/>
          <w:szCs w:val="31"/>
        </w:rPr>
      </w:pPr>
      <w:r>
        <w:rPr>
          <w:rFonts w:hint="eastAsia" w:ascii="微软雅黑" w:hAnsi="微软雅黑" w:eastAsia="微软雅黑" w:cs="微软雅黑"/>
          <w:b/>
          <w:bCs/>
          <w:spacing w:val="8"/>
          <w:sz w:val="31"/>
          <w:szCs w:val="31"/>
          <w:lang w:val="en-US" w:eastAsia="zh-CN"/>
        </w:rPr>
        <w:t>通城县</w:t>
      </w:r>
      <w:bookmarkStart w:id="0" w:name="_GoBack"/>
      <w:bookmarkEnd w:id="0"/>
      <w:r>
        <w:rPr>
          <w:rFonts w:ascii="微软雅黑" w:hAnsi="微软雅黑" w:eastAsia="微软雅黑" w:cs="微软雅黑"/>
          <w:b/>
          <w:bCs/>
          <w:spacing w:val="8"/>
          <w:sz w:val="31"/>
          <w:szCs w:val="31"/>
        </w:rPr>
        <w:t>平板玻璃产品质量监督抽查实施细则</w:t>
      </w:r>
    </w:p>
    <w:p w14:paraId="0E3CCED8">
      <w:pPr>
        <w:pStyle w:val="2"/>
        <w:spacing w:before="230" w:line="186" w:lineRule="auto"/>
        <w:ind w:left="3272"/>
        <w:outlineLvl w:val="0"/>
        <w:rPr>
          <w:rFonts w:ascii="微软雅黑" w:hAnsi="微软雅黑" w:eastAsia="微软雅黑" w:cs="微软雅黑"/>
          <w:sz w:val="31"/>
          <w:szCs w:val="31"/>
        </w:rPr>
      </w:pPr>
      <w:r>
        <w:rPr>
          <w:rFonts w:ascii="微软雅黑" w:hAnsi="微软雅黑" w:eastAsia="微软雅黑" w:cs="微软雅黑"/>
          <w:b/>
          <w:bCs/>
          <w:spacing w:val="11"/>
          <w:sz w:val="31"/>
          <w:szCs w:val="31"/>
        </w:rPr>
        <w:t>（</w:t>
      </w:r>
      <w:r>
        <w:rPr>
          <w:b/>
          <w:bCs/>
          <w:spacing w:val="11"/>
          <w:sz w:val="31"/>
          <w:szCs w:val="31"/>
        </w:rPr>
        <w:t>2025</w:t>
      </w:r>
      <w:r>
        <w:rPr>
          <w:b/>
          <w:bCs/>
          <w:spacing w:val="38"/>
          <w:sz w:val="31"/>
          <w:szCs w:val="31"/>
        </w:rPr>
        <w:t xml:space="preserve"> </w:t>
      </w:r>
      <w:r>
        <w:rPr>
          <w:rFonts w:ascii="微软雅黑" w:hAnsi="微软雅黑" w:eastAsia="微软雅黑" w:cs="微软雅黑"/>
          <w:b/>
          <w:bCs/>
          <w:spacing w:val="11"/>
          <w:sz w:val="31"/>
          <w:szCs w:val="31"/>
        </w:rPr>
        <w:t>年版）</w:t>
      </w:r>
    </w:p>
    <w:p w14:paraId="604B5F45">
      <w:pPr>
        <w:spacing w:line="256" w:lineRule="auto"/>
        <w:rPr>
          <w:rFonts w:ascii="Arial"/>
          <w:sz w:val="21"/>
        </w:rPr>
      </w:pPr>
    </w:p>
    <w:p w14:paraId="5A544AC1">
      <w:pPr>
        <w:spacing w:line="256" w:lineRule="auto"/>
        <w:rPr>
          <w:rFonts w:ascii="Arial"/>
          <w:sz w:val="21"/>
        </w:rPr>
      </w:pPr>
    </w:p>
    <w:p w14:paraId="3653D963">
      <w:pPr>
        <w:spacing w:line="256" w:lineRule="auto"/>
        <w:rPr>
          <w:rFonts w:ascii="Arial"/>
          <w:sz w:val="21"/>
        </w:rPr>
      </w:pPr>
    </w:p>
    <w:p w14:paraId="5EC6C3D2">
      <w:pPr>
        <w:pStyle w:val="2"/>
        <w:spacing w:before="68" w:line="220" w:lineRule="auto"/>
        <w:ind w:left="20"/>
        <w:outlineLvl w:val="1"/>
        <w:rPr>
          <w:rFonts w:ascii="宋体" w:hAnsi="宋体" w:eastAsia="宋体" w:cs="宋体"/>
        </w:rPr>
      </w:pPr>
      <w:r>
        <w:rPr>
          <w:b/>
          <w:bCs/>
          <w:spacing w:val="-3"/>
        </w:rPr>
        <w:t>1</w:t>
      </w:r>
      <w:r>
        <w:rPr>
          <w:b/>
          <w:bCs/>
          <w:spacing w:val="7"/>
        </w:rPr>
        <w:t xml:space="preserve">  </w:t>
      </w:r>
      <w:r>
        <w:rPr>
          <w:rFonts w:ascii="宋体" w:hAnsi="宋体" w:eastAsia="宋体" w:cs="宋体"/>
          <w:b/>
          <w:bCs/>
          <w:spacing w:val="-3"/>
        </w:rPr>
        <w:t>抽样</w:t>
      </w:r>
    </w:p>
    <w:p w14:paraId="13E29D1F">
      <w:pPr>
        <w:spacing w:before="189" w:line="372" w:lineRule="auto"/>
        <w:ind w:left="434" w:right="2902" w:hanging="47"/>
        <w:rPr>
          <w:rFonts w:ascii="宋体" w:hAnsi="宋体" w:eastAsia="宋体" w:cs="宋体"/>
          <w:sz w:val="21"/>
          <w:szCs w:val="21"/>
        </w:rPr>
      </w:pPr>
      <w:r>
        <w:rPr>
          <w:rFonts w:ascii="宋体" w:hAnsi="宋体" w:eastAsia="宋体" w:cs="宋体"/>
          <w:b/>
          <w:bCs/>
          <w:spacing w:val="-5"/>
          <w:sz w:val="21"/>
          <w:szCs w:val="21"/>
        </w:rPr>
        <w:t>以随机抽样的方式在成品库内或市场待销产品中随机抽取。</w:t>
      </w:r>
      <w:r>
        <w:rPr>
          <w:rFonts w:ascii="宋体" w:hAnsi="宋体" w:eastAsia="宋体" w:cs="宋体"/>
          <w:spacing w:val="12"/>
          <w:sz w:val="21"/>
          <w:szCs w:val="21"/>
        </w:rPr>
        <w:t xml:space="preserve"> </w:t>
      </w:r>
      <w:r>
        <w:rPr>
          <w:rFonts w:ascii="宋体" w:hAnsi="宋体" w:eastAsia="宋体" w:cs="宋体"/>
          <w:b/>
          <w:bCs/>
          <w:spacing w:val="-3"/>
          <w:sz w:val="21"/>
          <w:szCs w:val="21"/>
        </w:rPr>
        <w:t>随机数一般可使用随机数表、骰子或扑克牌等方法产生。</w:t>
      </w:r>
    </w:p>
    <w:p w14:paraId="6A3CDAD1">
      <w:pPr>
        <w:pStyle w:val="2"/>
        <w:spacing w:before="33" w:line="220" w:lineRule="auto"/>
        <w:outlineLvl w:val="1"/>
        <w:rPr>
          <w:rFonts w:ascii="宋体" w:hAnsi="宋体" w:eastAsia="宋体" w:cs="宋体"/>
        </w:rPr>
      </w:pPr>
      <w:r>
        <w:rPr>
          <w:b/>
          <w:bCs/>
          <w:spacing w:val="-3"/>
        </w:rPr>
        <w:t>2</w:t>
      </w:r>
      <w:r>
        <w:rPr>
          <w:b/>
          <w:bCs/>
          <w:spacing w:val="6"/>
        </w:rPr>
        <w:t xml:space="preserve">  </w:t>
      </w:r>
      <w:r>
        <w:rPr>
          <w:rFonts w:ascii="宋体" w:hAnsi="宋体" w:eastAsia="宋体" w:cs="宋体"/>
          <w:b/>
          <w:bCs/>
          <w:spacing w:val="-3"/>
        </w:rPr>
        <w:t>检验依据</w:t>
      </w:r>
    </w:p>
    <w:p w14:paraId="10A1F094">
      <w:pPr>
        <w:spacing w:before="215"/>
      </w:pPr>
    </w:p>
    <w:tbl>
      <w:tblPr>
        <w:tblStyle w:val="5"/>
        <w:tblW w:w="8480" w:type="dxa"/>
        <w:tblInd w:w="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1277"/>
        <w:gridCol w:w="2129"/>
        <w:gridCol w:w="2006"/>
        <w:gridCol w:w="2033"/>
      </w:tblGrid>
      <w:tr w14:paraId="77A96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035" w:type="dxa"/>
            <w:tcBorders>
              <w:left w:val="single" w:color="000000" w:sz="6" w:space="0"/>
              <w:right w:val="single" w:color="000000" w:sz="8" w:space="0"/>
            </w:tcBorders>
            <w:vAlign w:val="top"/>
          </w:tcPr>
          <w:p w14:paraId="45B7D106">
            <w:pPr>
              <w:spacing w:before="178" w:line="222" w:lineRule="auto"/>
              <w:ind w:left="304"/>
              <w:rPr>
                <w:rFonts w:ascii="宋体" w:hAnsi="宋体" w:eastAsia="宋体" w:cs="宋体"/>
                <w:sz w:val="21"/>
                <w:szCs w:val="21"/>
              </w:rPr>
            </w:pPr>
            <w:r>
              <w:rPr>
                <w:rFonts w:ascii="宋体" w:hAnsi="宋体" w:eastAsia="宋体" w:cs="宋体"/>
                <w:b/>
                <w:bCs/>
                <w:spacing w:val="-5"/>
                <w:sz w:val="21"/>
                <w:szCs w:val="21"/>
              </w:rPr>
              <w:t>序号</w:t>
            </w:r>
          </w:p>
        </w:tc>
        <w:tc>
          <w:tcPr>
            <w:tcW w:w="3406" w:type="dxa"/>
            <w:gridSpan w:val="2"/>
            <w:tcBorders>
              <w:left w:val="single" w:color="000000" w:sz="8" w:space="0"/>
              <w:right w:val="single" w:color="000000" w:sz="8" w:space="0"/>
            </w:tcBorders>
            <w:vAlign w:val="top"/>
          </w:tcPr>
          <w:p w14:paraId="338A9917">
            <w:pPr>
              <w:spacing w:before="178" w:line="220" w:lineRule="auto"/>
              <w:ind w:left="1278"/>
              <w:rPr>
                <w:rFonts w:ascii="宋体" w:hAnsi="宋体" w:eastAsia="宋体" w:cs="宋体"/>
                <w:sz w:val="21"/>
                <w:szCs w:val="21"/>
              </w:rPr>
            </w:pPr>
            <w:r>
              <w:rPr>
                <w:rFonts w:ascii="宋体" w:hAnsi="宋体" w:eastAsia="宋体" w:cs="宋体"/>
                <w:b/>
                <w:bCs/>
                <w:spacing w:val="-4"/>
                <w:sz w:val="21"/>
                <w:szCs w:val="21"/>
              </w:rPr>
              <w:t>检验项目</w:t>
            </w:r>
          </w:p>
        </w:tc>
        <w:tc>
          <w:tcPr>
            <w:tcW w:w="2006" w:type="dxa"/>
            <w:tcBorders>
              <w:left w:val="single" w:color="000000" w:sz="8" w:space="0"/>
              <w:right w:val="single" w:color="000000" w:sz="8" w:space="0"/>
            </w:tcBorders>
            <w:vAlign w:val="top"/>
          </w:tcPr>
          <w:p w14:paraId="583D655D">
            <w:pPr>
              <w:spacing w:before="178" w:line="220" w:lineRule="auto"/>
              <w:ind w:left="584"/>
              <w:rPr>
                <w:rFonts w:ascii="宋体" w:hAnsi="宋体" w:eastAsia="宋体" w:cs="宋体"/>
                <w:sz w:val="21"/>
                <w:szCs w:val="21"/>
              </w:rPr>
            </w:pPr>
            <w:r>
              <w:rPr>
                <w:rFonts w:ascii="宋体" w:hAnsi="宋体" w:eastAsia="宋体" w:cs="宋体"/>
                <w:b/>
                <w:bCs/>
                <w:spacing w:val="-4"/>
                <w:sz w:val="21"/>
                <w:szCs w:val="21"/>
              </w:rPr>
              <w:t>检验依据</w:t>
            </w:r>
          </w:p>
        </w:tc>
        <w:tc>
          <w:tcPr>
            <w:tcW w:w="2033" w:type="dxa"/>
            <w:tcBorders>
              <w:left w:val="single" w:color="000000" w:sz="8" w:space="0"/>
              <w:bottom w:val="single" w:color="000000" w:sz="6" w:space="0"/>
            </w:tcBorders>
            <w:vAlign w:val="top"/>
          </w:tcPr>
          <w:p w14:paraId="2EE72AA9">
            <w:pPr>
              <w:spacing w:before="178" w:line="220" w:lineRule="auto"/>
              <w:ind w:left="599"/>
              <w:rPr>
                <w:rFonts w:ascii="宋体" w:hAnsi="宋体" w:eastAsia="宋体" w:cs="宋体"/>
                <w:sz w:val="21"/>
                <w:szCs w:val="21"/>
              </w:rPr>
            </w:pPr>
            <w:r>
              <w:rPr>
                <w:rFonts w:ascii="宋体" w:hAnsi="宋体" w:eastAsia="宋体" w:cs="宋体"/>
                <w:b/>
                <w:bCs/>
                <w:spacing w:val="-4"/>
                <w:sz w:val="21"/>
                <w:szCs w:val="21"/>
              </w:rPr>
              <w:t>检验方法</w:t>
            </w:r>
          </w:p>
        </w:tc>
      </w:tr>
      <w:tr w14:paraId="3B5CC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35" w:type="dxa"/>
            <w:tcBorders>
              <w:left w:val="single" w:color="000000" w:sz="6" w:space="0"/>
              <w:right w:val="single" w:color="000000" w:sz="8" w:space="0"/>
            </w:tcBorders>
            <w:vAlign w:val="top"/>
          </w:tcPr>
          <w:p w14:paraId="0E1FD2BE">
            <w:pPr>
              <w:spacing w:before="197" w:line="188" w:lineRule="auto"/>
              <w:ind w:left="477"/>
              <w:rPr>
                <w:rFonts w:ascii="Constantia" w:hAnsi="Constantia" w:eastAsia="Constantia" w:cs="Constantia"/>
                <w:sz w:val="21"/>
                <w:szCs w:val="21"/>
              </w:rPr>
            </w:pPr>
            <w:r>
              <w:rPr>
                <w:rFonts w:ascii="Constantia" w:hAnsi="Constantia" w:eastAsia="Constantia" w:cs="Constantia"/>
                <w:b/>
                <w:bCs/>
                <w:spacing w:val="4"/>
                <w:sz w:val="21"/>
                <w:szCs w:val="21"/>
              </w:rPr>
              <w:t>1</w:t>
            </w:r>
          </w:p>
        </w:tc>
        <w:tc>
          <w:tcPr>
            <w:tcW w:w="3406" w:type="dxa"/>
            <w:gridSpan w:val="2"/>
            <w:tcBorders>
              <w:left w:val="single" w:color="000000" w:sz="8" w:space="0"/>
              <w:right w:val="single" w:color="000000" w:sz="8" w:space="0"/>
            </w:tcBorders>
            <w:vAlign w:val="top"/>
          </w:tcPr>
          <w:p w14:paraId="3C370F8D">
            <w:pPr>
              <w:spacing w:before="118" w:line="220" w:lineRule="auto"/>
              <w:ind w:left="1284"/>
              <w:rPr>
                <w:rFonts w:ascii="宋体" w:hAnsi="宋体" w:eastAsia="宋体" w:cs="宋体"/>
                <w:sz w:val="21"/>
                <w:szCs w:val="21"/>
              </w:rPr>
            </w:pPr>
            <w:r>
              <w:rPr>
                <w:rFonts w:ascii="宋体" w:hAnsi="宋体" w:eastAsia="宋体" w:cs="宋体"/>
                <w:b/>
                <w:bCs/>
                <w:spacing w:val="-5"/>
                <w:sz w:val="21"/>
                <w:szCs w:val="21"/>
              </w:rPr>
              <w:t>厚度偏差</w:t>
            </w:r>
          </w:p>
        </w:tc>
        <w:tc>
          <w:tcPr>
            <w:tcW w:w="2006" w:type="dxa"/>
            <w:tcBorders>
              <w:left w:val="single" w:color="000000" w:sz="8" w:space="0"/>
              <w:right w:val="single" w:color="000000" w:sz="8" w:space="0"/>
            </w:tcBorders>
            <w:vAlign w:val="top"/>
          </w:tcPr>
          <w:p w14:paraId="164B5751">
            <w:pPr>
              <w:spacing w:before="147" w:line="160" w:lineRule="exact"/>
              <w:ind w:left="257"/>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8"/>
                <w:position w:val="1"/>
                <w:sz w:val="21"/>
                <w:szCs w:val="21"/>
              </w:rPr>
              <w:t xml:space="preserve"> </w:t>
            </w:r>
            <w:r>
              <w:rPr>
                <w:rFonts w:ascii="Constantia" w:hAnsi="Constantia" w:eastAsia="Constantia" w:cs="Constantia"/>
                <w:b/>
                <w:bCs/>
                <w:spacing w:val="2"/>
                <w:position w:val="1"/>
                <w:sz w:val="21"/>
                <w:szCs w:val="21"/>
              </w:rPr>
              <w:t>11614—2022</w:t>
            </w:r>
          </w:p>
        </w:tc>
        <w:tc>
          <w:tcPr>
            <w:tcW w:w="2033" w:type="dxa"/>
            <w:tcBorders>
              <w:left w:val="single" w:color="000000" w:sz="8" w:space="0"/>
              <w:bottom w:val="single" w:color="000000" w:sz="6" w:space="0"/>
            </w:tcBorders>
            <w:vAlign w:val="top"/>
          </w:tcPr>
          <w:p w14:paraId="2CD2A0E1">
            <w:pPr>
              <w:spacing w:before="147" w:line="160" w:lineRule="exact"/>
              <w:ind w:left="272"/>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8"/>
                <w:position w:val="1"/>
                <w:sz w:val="21"/>
                <w:szCs w:val="21"/>
              </w:rPr>
              <w:t xml:space="preserve"> </w:t>
            </w:r>
            <w:r>
              <w:rPr>
                <w:rFonts w:ascii="Constantia" w:hAnsi="Constantia" w:eastAsia="Constantia" w:cs="Constantia"/>
                <w:b/>
                <w:bCs/>
                <w:spacing w:val="2"/>
                <w:position w:val="1"/>
                <w:sz w:val="21"/>
                <w:szCs w:val="21"/>
              </w:rPr>
              <w:t>11614—2022</w:t>
            </w:r>
          </w:p>
        </w:tc>
      </w:tr>
      <w:tr w14:paraId="1D87A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35" w:type="dxa"/>
            <w:tcBorders>
              <w:left w:val="single" w:color="000000" w:sz="6" w:space="0"/>
              <w:right w:val="single" w:color="000000" w:sz="8" w:space="0"/>
            </w:tcBorders>
            <w:vAlign w:val="top"/>
          </w:tcPr>
          <w:p w14:paraId="6E1F903C">
            <w:pPr>
              <w:spacing w:before="198" w:line="188" w:lineRule="auto"/>
              <w:ind w:left="457"/>
              <w:rPr>
                <w:rFonts w:ascii="Constantia" w:hAnsi="Constantia" w:eastAsia="Constantia" w:cs="Constantia"/>
                <w:sz w:val="21"/>
                <w:szCs w:val="21"/>
              </w:rPr>
            </w:pPr>
            <w:r>
              <w:rPr>
                <w:rFonts w:ascii="Constantia" w:hAnsi="Constantia" w:eastAsia="Constantia" w:cs="Constantia"/>
                <w:b/>
                <w:bCs/>
                <w:sz w:val="21"/>
                <w:szCs w:val="21"/>
              </w:rPr>
              <w:t>2</w:t>
            </w:r>
          </w:p>
        </w:tc>
        <w:tc>
          <w:tcPr>
            <w:tcW w:w="3406" w:type="dxa"/>
            <w:gridSpan w:val="2"/>
            <w:tcBorders>
              <w:left w:val="single" w:color="000000" w:sz="8" w:space="0"/>
              <w:right w:val="single" w:color="000000" w:sz="8" w:space="0"/>
            </w:tcBorders>
            <w:vAlign w:val="top"/>
          </w:tcPr>
          <w:p w14:paraId="7160D711">
            <w:pPr>
              <w:spacing w:before="118" w:line="221" w:lineRule="auto"/>
              <w:ind w:left="1389"/>
              <w:rPr>
                <w:rFonts w:ascii="宋体" w:hAnsi="宋体" w:eastAsia="宋体" w:cs="宋体"/>
                <w:sz w:val="21"/>
                <w:szCs w:val="21"/>
              </w:rPr>
            </w:pPr>
            <w:r>
              <w:rPr>
                <w:rFonts w:ascii="宋体" w:hAnsi="宋体" w:eastAsia="宋体" w:cs="宋体"/>
                <w:b/>
                <w:bCs/>
                <w:spacing w:val="-6"/>
                <w:sz w:val="21"/>
                <w:szCs w:val="21"/>
              </w:rPr>
              <w:t>厚薄差</w:t>
            </w:r>
          </w:p>
        </w:tc>
        <w:tc>
          <w:tcPr>
            <w:tcW w:w="2006" w:type="dxa"/>
            <w:tcBorders>
              <w:left w:val="single" w:color="000000" w:sz="8" w:space="0"/>
              <w:right w:val="single" w:color="000000" w:sz="8" w:space="0"/>
            </w:tcBorders>
            <w:vAlign w:val="top"/>
          </w:tcPr>
          <w:p w14:paraId="0983B4F6">
            <w:pPr>
              <w:spacing w:before="198" w:line="160" w:lineRule="exact"/>
              <w:ind w:left="257"/>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8"/>
                <w:position w:val="1"/>
                <w:sz w:val="21"/>
                <w:szCs w:val="21"/>
              </w:rPr>
              <w:t xml:space="preserve"> </w:t>
            </w:r>
            <w:r>
              <w:rPr>
                <w:rFonts w:ascii="Constantia" w:hAnsi="Constantia" w:eastAsia="Constantia" w:cs="Constantia"/>
                <w:b/>
                <w:bCs/>
                <w:spacing w:val="2"/>
                <w:position w:val="1"/>
                <w:sz w:val="21"/>
                <w:szCs w:val="21"/>
              </w:rPr>
              <w:t>11614—2022</w:t>
            </w:r>
          </w:p>
        </w:tc>
        <w:tc>
          <w:tcPr>
            <w:tcW w:w="2033" w:type="dxa"/>
            <w:tcBorders>
              <w:left w:val="single" w:color="000000" w:sz="8" w:space="0"/>
              <w:bottom w:val="single" w:color="000000" w:sz="6" w:space="0"/>
            </w:tcBorders>
            <w:vAlign w:val="top"/>
          </w:tcPr>
          <w:p w14:paraId="00DE07B6">
            <w:pPr>
              <w:spacing w:before="198" w:line="160" w:lineRule="exact"/>
              <w:ind w:left="272"/>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8"/>
                <w:position w:val="1"/>
                <w:sz w:val="21"/>
                <w:szCs w:val="21"/>
              </w:rPr>
              <w:t xml:space="preserve"> </w:t>
            </w:r>
            <w:r>
              <w:rPr>
                <w:rFonts w:ascii="Constantia" w:hAnsi="Constantia" w:eastAsia="Constantia" w:cs="Constantia"/>
                <w:b/>
                <w:bCs/>
                <w:spacing w:val="2"/>
                <w:position w:val="1"/>
                <w:sz w:val="21"/>
                <w:szCs w:val="21"/>
              </w:rPr>
              <w:t>11614—2022</w:t>
            </w:r>
          </w:p>
        </w:tc>
      </w:tr>
      <w:tr w14:paraId="57253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35" w:type="dxa"/>
            <w:vMerge w:val="restart"/>
            <w:tcBorders>
              <w:left w:val="single" w:color="000000" w:sz="6" w:space="0"/>
              <w:bottom w:val="nil"/>
              <w:right w:val="single" w:color="000000" w:sz="8" w:space="0"/>
            </w:tcBorders>
            <w:vAlign w:val="top"/>
          </w:tcPr>
          <w:p w14:paraId="3B2E609D">
            <w:pPr>
              <w:pStyle w:val="6"/>
              <w:spacing w:line="263" w:lineRule="auto"/>
            </w:pPr>
          </w:p>
          <w:p w14:paraId="5CF2719A">
            <w:pPr>
              <w:pStyle w:val="6"/>
              <w:spacing w:line="263" w:lineRule="auto"/>
            </w:pPr>
          </w:p>
          <w:p w14:paraId="33FE5183">
            <w:pPr>
              <w:pStyle w:val="6"/>
              <w:spacing w:line="263" w:lineRule="auto"/>
            </w:pPr>
          </w:p>
          <w:p w14:paraId="4A799C22">
            <w:pPr>
              <w:spacing w:before="65" w:line="156" w:lineRule="exact"/>
              <w:ind w:left="461"/>
              <w:rPr>
                <w:rFonts w:ascii="Constantia" w:hAnsi="Constantia" w:eastAsia="Constantia" w:cs="Constantia"/>
                <w:sz w:val="21"/>
                <w:szCs w:val="21"/>
              </w:rPr>
            </w:pPr>
            <w:r>
              <w:rPr>
                <w:rFonts w:ascii="Constantia" w:hAnsi="Constantia" w:eastAsia="Constantia" w:cs="Constantia"/>
                <w:b/>
                <w:bCs/>
                <w:spacing w:val="1"/>
                <w:position w:val="2"/>
                <w:sz w:val="21"/>
                <w:szCs w:val="21"/>
              </w:rPr>
              <w:t>3</w:t>
            </w:r>
          </w:p>
        </w:tc>
        <w:tc>
          <w:tcPr>
            <w:tcW w:w="1277" w:type="dxa"/>
            <w:vMerge w:val="restart"/>
            <w:tcBorders>
              <w:left w:val="single" w:color="000000" w:sz="8" w:space="0"/>
              <w:bottom w:val="nil"/>
              <w:right w:val="single" w:color="000000" w:sz="8" w:space="0"/>
            </w:tcBorders>
            <w:vAlign w:val="top"/>
          </w:tcPr>
          <w:p w14:paraId="364A99FB">
            <w:pPr>
              <w:pStyle w:val="6"/>
              <w:spacing w:line="252" w:lineRule="auto"/>
            </w:pPr>
          </w:p>
          <w:p w14:paraId="2412230A">
            <w:pPr>
              <w:pStyle w:val="6"/>
              <w:spacing w:line="252" w:lineRule="auto"/>
            </w:pPr>
          </w:p>
          <w:p w14:paraId="1B013813">
            <w:pPr>
              <w:pStyle w:val="6"/>
              <w:spacing w:line="252" w:lineRule="auto"/>
            </w:pPr>
          </w:p>
          <w:p w14:paraId="6FBF24AE">
            <w:pPr>
              <w:spacing w:before="69" w:line="221" w:lineRule="auto"/>
              <w:ind w:left="217"/>
              <w:rPr>
                <w:rFonts w:ascii="宋体" w:hAnsi="宋体" w:eastAsia="宋体" w:cs="宋体"/>
                <w:sz w:val="21"/>
                <w:szCs w:val="21"/>
              </w:rPr>
            </w:pPr>
            <w:r>
              <w:rPr>
                <w:rFonts w:ascii="宋体" w:hAnsi="宋体" w:eastAsia="宋体" w:cs="宋体"/>
                <w:b/>
                <w:bCs/>
                <w:spacing w:val="-5"/>
                <w:sz w:val="21"/>
                <w:szCs w:val="21"/>
              </w:rPr>
              <w:t>外观质量</w:t>
            </w:r>
          </w:p>
        </w:tc>
        <w:tc>
          <w:tcPr>
            <w:tcW w:w="2129" w:type="dxa"/>
            <w:tcBorders>
              <w:left w:val="single" w:color="000000" w:sz="8" w:space="0"/>
              <w:bottom w:val="single" w:color="000000" w:sz="6" w:space="0"/>
              <w:right w:val="single" w:color="000000" w:sz="8" w:space="0"/>
            </w:tcBorders>
            <w:vAlign w:val="top"/>
          </w:tcPr>
          <w:p w14:paraId="0ED20B9A">
            <w:pPr>
              <w:spacing w:before="119" w:line="220" w:lineRule="auto"/>
              <w:ind w:left="653"/>
              <w:rPr>
                <w:rFonts w:ascii="宋体" w:hAnsi="宋体" w:eastAsia="宋体" w:cs="宋体"/>
                <w:sz w:val="21"/>
                <w:szCs w:val="21"/>
              </w:rPr>
            </w:pPr>
            <w:r>
              <w:rPr>
                <w:rFonts w:ascii="宋体" w:hAnsi="宋体" w:eastAsia="宋体" w:cs="宋体"/>
                <w:b/>
                <w:bCs/>
                <w:spacing w:val="-7"/>
                <w:sz w:val="21"/>
                <w:szCs w:val="21"/>
              </w:rPr>
              <w:t>点状缺陷</w:t>
            </w:r>
          </w:p>
        </w:tc>
        <w:tc>
          <w:tcPr>
            <w:tcW w:w="2006" w:type="dxa"/>
            <w:vMerge w:val="restart"/>
            <w:tcBorders>
              <w:left w:val="single" w:color="000000" w:sz="6" w:space="0"/>
              <w:bottom w:val="nil"/>
              <w:right w:val="single" w:color="000000" w:sz="8" w:space="0"/>
            </w:tcBorders>
            <w:vAlign w:val="top"/>
          </w:tcPr>
          <w:p w14:paraId="57B90667">
            <w:pPr>
              <w:pStyle w:val="6"/>
              <w:spacing w:line="263" w:lineRule="auto"/>
            </w:pPr>
          </w:p>
          <w:p w14:paraId="33C3DB33">
            <w:pPr>
              <w:pStyle w:val="6"/>
              <w:spacing w:line="263" w:lineRule="auto"/>
            </w:pPr>
          </w:p>
          <w:p w14:paraId="1881CBD9">
            <w:pPr>
              <w:pStyle w:val="6"/>
              <w:spacing w:line="263" w:lineRule="auto"/>
            </w:pPr>
          </w:p>
          <w:p w14:paraId="7BD9FB8F">
            <w:pPr>
              <w:spacing w:before="64" w:line="161" w:lineRule="exact"/>
              <w:ind w:left="257"/>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8"/>
                <w:position w:val="1"/>
                <w:sz w:val="21"/>
                <w:szCs w:val="21"/>
              </w:rPr>
              <w:t xml:space="preserve"> </w:t>
            </w:r>
            <w:r>
              <w:rPr>
                <w:rFonts w:ascii="Constantia" w:hAnsi="Constantia" w:eastAsia="Constantia" w:cs="Constantia"/>
                <w:b/>
                <w:bCs/>
                <w:spacing w:val="2"/>
                <w:position w:val="1"/>
                <w:sz w:val="21"/>
                <w:szCs w:val="21"/>
              </w:rPr>
              <w:t>11614—2022</w:t>
            </w:r>
          </w:p>
        </w:tc>
        <w:tc>
          <w:tcPr>
            <w:tcW w:w="2033" w:type="dxa"/>
            <w:vMerge w:val="restart"/>
            <w:tcBorders>
              <w:left w:val="single" w:color="000000" w:sz="8" w:space="0"/>
              <w:bottom w:val="nil"/>
              <w:right w:val="single" w:color="000000" w:sz="6" w:space="0"/>
            </w:tcBorders>
            <w:vAlign w:val="top"/>
          </w:tcPr>
          <w:p w14:paraId="47455478">
            <w:pPr>
              <w:pStyle w:val="6"/>
              <w:spacing w:line="263" w:lineRule="auto"/>
            </w:pPr>
          </w:p>
          <w:p w14:paraId="1E157251">
            <w:pPr>
              <w:pStyle w:val="6"/>
              <w:spacing w:line="263" w:lineRule="auto"/>
            </w:pPr>
          </w:p>
          <w:p w14:paraId="786014AE">
            <w:pPr>
              <w:pStyle w:val="6"/>
              <w:spacing w:line="263" w:lineRule="auto"/>
            </w:pPr>
          </w:p>
          <w:p w14:paraId="6365DEE4">
            <w:pPr>
              <w:spacing w:before="64" w:line="161" w:lineRule="exact"/>
              <w:ind w:left="272"/>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8"/>
                <w:position w:val="1"/>
                <w:sz w:val="21"/>
                <w:szCs w:val="21"/>
              </w:rPr>
              <w:t xml:space="preserve"> </w:t>
            </w:r>
            <w:r>
              <w:rPr>
                <w:rFonts w:ascii="Constantia" w:hAnsi="Constantia" w:eastAsia="Constantia" w:cs="Constantia"/>
                <w:b/>
                <w:bCs/>
                <w:spacing w:val="2"/>
                <w:position w:val="1"/>
                <w:sz w:val="21"/>
                <w:szCs w:val="21"/>
              </w:rPr>
              <w:t>11614—2022</w:t>
            </w:r>
          </w:p>
        </w:tc>
      </w:tr>
      <w:tr w14:paraId="0C74D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35" w:type="dxa"/>
            <w:vMerge w:val="continue"/>
            <w:tcBorders>
              <w:top w:val="nil"/>
              <w:left w:val="single" w:color="000000" w:sz="6" w:space="0"/>
              <w:bottom w:val="nil"/>
              <w:right w:val="single" w:color="000000" w:sz="8" w:space="0"/>
            </w:tcBorders>
            <w:vAlign w:val="top"/>
          </w:tcPr>
          <w:p w14:paraId="05462DB7">
            <w:pPr>
              <w:pStyle w:val="6"/>
            </w:pPr>
          </w:p>
        </w:tc>
        <w:tc>
          <w:tcPr>
            <w:tcW w:w="1277" w:type="dxa"/>
            <w:vMerge w:val="continue"/>
            <w:tcBorders>
              <w:top w:val="nil"/>
              <w:left w:val="single" w:color="000000" w:sz="8" w:space="0"/>
              <w:bottom w:val="nil"/>
              <w:right w:val="single" w:color="000000" w:sz="8" w:space="0"/>
            </w:tcBorders>
            <w:vAlign w:val="top"/>
          </w:tcPr>
          <w:p w14:paraId="7948BA05">
            <w:pPr>
              <w:pStyle w:val="6"/>
            </w:pPr>
          </w:p>
        </w:tc>
        <w:tc>
          <w:tcPr>
            <w:tcW w:w="2129" w:type="dxa"/>
            <w:tcBorders>
              <w:left w:val="single" w:color="000000" w:sz="8" w:space="0"/>
              <w:bottom w:val="single" w:color="000000" w:sz="6" w:space="0"/>
              <w:right w:val="single" w:color="000000" w:sz="6" w:space="0"/>
            </w:tcBorders>
            <w:vAlign w:val="top"/>
          </w:tcPr>
          <w:p w14:paraId="6F54213D">
            <w:pPr>
              <w:spacing w:before="114" w:line="220" w:lineRule="auto"/>
              <w:ind w:left="336"/>
              <w:rPr>
                <w:rFonts w:ascii="宋体" w:hAnsi="宋体" w:eastAsia="宋体" w:cs="宋体"/>
                <w:sz w:val="21"/>
                <w:szCs w:val="21"/>
              </w:rPr>
            </w:pPr>
            <w:r>
              <w:rPr>
                <w:rFonts w:ascii="宋体" w:hAnsi="宋体" w:eastAsia="宋体" w:cs="宋体"/>
                <w:b/>
                <w:bCs/>
                <w:spacing w:val="-5"/>
                <w:sz w:val="21"/>
                <w:szCs w:val="21"/>
              </w:rPr>
              <w:t>点状缺陷密集度</w:t>
            </w:r>
          </w:p>
        </w:tc>
        <w:tc>
          <w:tcPr>
            <w:tcW w:w="2006" w:type="dxa"/>
            <w:vMerge w:val="continue"/>
            <w:tcBorders>
              <w:top w:val="nil"/>
              <w:left w:val="single" w:color="000000" w:sz="6" w:space="0"/>
              <w:bottom w:val="nil"/>
              <w:right w:val="single" w:color="000000" w:sz="8" w:space="0"/>
            </w:tcBorders>
            <w:vAlign w:val="top"/>
          </w:tcPr>
          <w:p w14:paraId="30649023">
            <w:pPr>
              <w:pStyle w:val="6"/>
            </w:pPr>
          </w:p>
        </w:tc>
        <w:tc>
          <w:tcPr>
            <w:tcW w:w="2033" w:type="dxa"/>
            <w:vMerge w:val="continue"/>
            <w:tcBorders>
              <w:top w:val="nil"/>
              <w:left w:val="single" w:color="000000" w:sz="8" w:space="0"/>
              <w:bottom w:val="nil"/>
              <w:right w:val="single" w:color="000000" w:sz="6" w:space="0"/>
            </w:tcBorders>
            <w:vAlign w:val="top"/>
          </w:tcPr>
          <w:p w14:paraId="394D139C">
            <w:pPr>
              <w:pStyle w:val="6"/>
            </w:pPr>
          </w:p>
        </w:tc>
      </w:tr>
      <w:tr w14:paraId="1EC59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35" w:type="dxa"/>
            <w:vMerge w:val="continue"/>
            <w:tcBorders>
              <w:top w:val="nil"/>
              <w:left w:val="single" w:color="000000" w:sz="6" w:space="0"/>
              <w:bottom w:val="nil"/>
              <w:right w:val="single" w:color="000000" w:sz="8" w:space="0"/>
            </w:tcBorders>
            <w:vAlign w:val="top"/>
          </w:tcPr>
          <w:p w14:paraId="5315A0E6">
            <w:pPr>
              <w:pStyle w:val="6"/>
            </w:pPr>
          </w:p>
        </w:tc>
        <w:tc>
          <w:tcPr>
            <w:tcW w:w="1277" w:type="dxa"/>
            <w:vMerge w:val="continue"/>
            <w:tcBorders>
              <w:top w:val="nil"/>
              <w:left w:val="single" w:color="000000" w:sz="8" w:space="0"/>
              <w:bottom w:val="nil"/>
              <w:right w:val="single" w:color="000000" w:sz="8" w:space="0"/>
            </w:tcBorders>
            <w:vAlign w:val="top"/>
          </w:tcPr>
          <w:p w14:paraId="1DAB2668">
            <w:pPr>
              <w:pStyle w:val="6"/>
            </w:pPr>
          </w:p>
        </w:tc>
        <w:tc>
          <w:tcPr>
            <w:tcW w:w="2129" w:type="dxa"/>
            <w:tcBorders>
              <w:left w:val="single" w:color="000000" w:sz="8" w:space="0"/>
              <w:bottom w:val="single" w:color="000000" w:sz="6" w:space="0"/>
              <w:right w:val="single" w:color="000000" w:sz="6" w:space="0"/>
            </w:tcBorders>
            <w:vAlign w:val="top"/>
          </w:tcPr>
          <w:p w14:paraId="0B695109">
            <w:pPr>
              <w:spacing w:before="122" w:line="221" w:lineRule="auto"/>
              <w:ind w:left="854"/>
              <w:rPr>
                <w:rFonts w:ascii="宋体" w:hAnsi="宋体" w:eastAsia="宋体" w:cs="宋体"/>
                <w:sz w:val="21"/>
                <w:szCs w:val="21"/>
              </w:rPr>
            </w:pPr>
            <w:r>
              <w:rPr>
                <w:rFonts w:ascii="宋体" w:hAnsi="宋体" w:eastAsia="宋体" w:cs="宋体"/>
                <w:b/>
                <w:bCs/>
                <w:spacing w:val="-7"/>
                <w:sz w:val="21"/>
                <w:szCs w:val="21"/>
              </w:rPr>
              <w:t>线道</w:t>
            </w:r>
          </w:p>
        </w:tc>
        <w:tc>
          <w:tcPr>
            <w:tcW w:w="2006" w:type="dxa"/>
            <w:vMerge w:val="continue"/>
            <w:tcBorders>
              <w:top w:val="nil"/>
              <w:left w:val="single" w:color="000000" w:sz="6" w:space="0"/>
              <w:bottom w:val="nil"/>
              <w:right w:val="single" w:color="000000" w:sz="8" w:space="0"/>
            </w:tcBorders>
            <w:vAlign w:val="top"/>
          </w:tcPr>
          <w:p w14:paraId="603CC6AB">
            <w:pPr>
              <w:pStyle w:val="6"/>
            </w:pPr>
          </w:p>
        </w:tc>
        <w:tc>
          <w:tcPr>
            <w:tcW w:w="2033" w:type="dxa"/>
            <w:vMerge w:val="continue"/>
            <w:tcBorders>
              <w:top w:val="nil"/>
              <w:left w:val="single" w:color="000000" w:sz="8" w:space="0"/>
              <w:bottom w:val="nil"/>
              <w:right w:val="single" w:color="000000" w:sz="6" w:space="0"/>
            </w:tcBorders>
            <w:vAlign w:val="top"/>
          </w:tcPr>
          <w:p w14:paraId="38D80152">
            <w:pPr>
              <w:pStyle w:val="6"/>
            </w:pPr>
          </w:p>
        </w:tc>
      </w:tr>
      <w:tr w14:paraId="6E9D4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35" w:type="dxa"/>
            <w:vMerge w:val="continue"/>
            <w:tcBorders>
              <w:top w:val="nil"/>
              <w:left w:val="single" w:color="000000" w:sz="6" w:space="0"/>
              <w:right w:val="single" w:color="000000" w:sz="8" w:space="0"/>
            </w:tcBorders>
            <w:vAlign w:val="top"/>
          </w:tcPr>
          <w:p w14:paraId="753FD769">
            <w:pPr>
              <w:pStyle w:val="6"/>
            </w:pPr>
          </w:p>
        </w:tc>
        <w:tc>
          <w:tcPr>
            <w:tcW w:w="1277" w:type="dxa"/>
            <w:vMerge w:val="continue"/>
            <w:tcBorders>
              <w:top w:val="nil"/>
              <w:left w:val="single" w:color="000000" w:sz="8" w:space="0"/>
              <w:right w:val="single" w:color="000000" w:sz="8" w:space="0"/>
            </w:tcBorders>
            <w:vAlign w:val="top"/>
          </w:tcPr>
          <w:p w14:paraId="0B3CF97E">
            <w:pPr>
              <w:pStyle w:val="6"/>
            </w:pPr>
          </w:p>
        </w:tc>
        <w:tc>
          <w:tcPr>
            <w:tcW w:w="2129" w:type="dxa"/>
            <w:tcBorders>
              <w:left w:val="single" w:color="000000" w:sz="8" w:space="0"/>
              <w:right w:val="single" w:color="000000" w:sz="6" w:space="0"/>
            </w:tcBorders>
            <w:vAlign w:val="top"/>
          </w:tcPr>
          <w:p w14:paraId="788DB20C">
            <w:pPr>
              <w:spacing w:before="125" w:line="222" w:lineRule="auto"/>
              <w:ind w:left="851"/>
              <w:rPr>
                <w:rFonts w:ascii="宋体" w:hAnsi="宋体" w:eastAsia="宋体" w:cs="宋体"/>
                <w:sz w:val="21"/>
                <w:szCs w:val="21"/>
              </w:rPr>
            </w:pPr>
            <w:r>
              <w:rPr>
                <w:rFonts w:ascii="宋体" w:hAnsi="宋体" w:eastAsia="宋体" w:cs="宋体"/>
                <w:b/>
                <w:bCs/>
                <w:spacing w:val="-6"/>
                <w:sz w:val="21"/>
                <w:szCs w:val="21"/>
              </w:rPr>
              <w:t>裂纹</w:t>
            </w:r>
          </w:p>
        </w:tc>
        <w:tc>
          <w:tcPr>
            <w:tcW w:w="2006" w:type="dxa"/>
            <w:vMerge w:val="continue"/>
            <w:tcBorders>
              <w:top w:val="nil"/>
              <w:left w:val="single" w:color="000000" w:sz="6" w:space="0"/>
              <w:right w:val="single" w:color="000000" w:sz="8" w:space="0"/>
            </w:tcBorders>
            <w:vAlign w:val="top"/>
          </w:tcPr>
          <w:p w14:paraId="4BFC64B4">
            <w:pPr>
              <w:pStyle w:val="6"/>
            </w:pPr>
          </w:p>
        </w:tc>
        <w:tc>
          <w:tcPr>
            <w:tcW w:w="2033" w:type="dxa"/>
            <w:vMerge w:val="continue"/>
            <w:tcBorders>
              <w:top w:val="nil"/>
              <w:left w:val="single" w:color="000000" w:sz="8" w:space="0"/>
              <w:bottom w:val="single" w:color="000000" w:sz="6" w:space="0"/>
              <w:right w:val="single" w:color="000000" w:sz="6" w:space="0"/>
            </w:tcBorders>
            <w:vAlign w:val="top"/>
          </w:tcPr>
          <w:p w14:paraId="70D010A1">
            <w:pPr>
              <w:pStyle w:val="6"/>
            </w:pPr>
          </w:p>
        </w:tc>
      </w:tr>
      <w:tr w14:paraId="40AC2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035" w:type="dxa"/>
            <w:vMerge w:val="restart"/>
            <w:tcBorders>
              <w:left w:val="single" w:color="000000" w:sz="6" w:space="0"/>
              <w:bottom w:val="nil"/>
              <w:right w:val="single" w:color="000000" w:sz="8" w:space="0"/>
            </w:tcBorders>
            <w:vAlign w:val="top"/>
          </w:tcPr>
          <w:p w14:paraId="6D457A39">
            <w:pPr>
              <w:pStyle w:val="6"/>
              <w:spacing w:line="264" w:lineRule="auto"/>
            </w:pPr>
          </w:p>
          <w:p w14:paraId="236AA362">
            <w:pPr>
              <w:pStyle w:val="6"/>
              <w:spacing w:line="265" w:lineRule="auto"/>
            </w:pPr>
          </w:p>
          <w:p w14:paraId="6B5F507C">
            <w:pPr>
              <w:pStyle w:val="6"/>
              <w:spacing w:line="265" w:lineRule="auto"/>
            </w:pPr>
          </w:p>
          <w:p w14:paraId="1D507F7C">
            <w:pPr>
              <w:spacing w:before="64" w:line="157" w:lineRule="exact"/>
              <w:ind w:left="456"/>
              <w:rPr>
                <w:rFonts w:ascii="Constantia" w:hAnsi="Constantia" w:eastAsia="Constantia" w:cs="Constantia"/>
                <w:sz w:val="21"/>
                <w:szCs w:val="21"/>
              </w:rPr>
            </w:pPr>
            <w:r>
              <w:rPr>
                <w:rFonts w:ascii="Constantia" w:hAnsi="Constantia" w:eastAsia="Constantia" w:cs="Constantia"/>
                <w:b/>
                <w:bCs/>
                <w:position w:val="2"/>
                <w:sz w:val="21"/>
                <w:szCs w:val="21"/>
              </w:rPr>
              <w:t>4</w:t>
            </w:r>
          </w:p>
        </w:tc>
        <w:tc>
          <w:tcPr>
            <w:tcW w:w="1277" w:type="dxa"/>
            <w:vMerge w:val="restart"/>
            <w:tcBorders>
              <w:left w:val="single" w:color="000000" w:sz="8" w:space="0"/>
              <w:bottom w:val="nil"/>
              <w:right w:val="single" w:color="000000" w:sz="8" w:space="0"/>
            </w:tcBorders>
            <w:vAlign w:val="top"/>
          </w:tcPr>
          <w:p w14:paraId="731170BE">
            <w:pPr>
              <w:pStyle w:val="6"/>
              <w:spacing w:line="253" w:lineRule="auto"/>
            </w:pPr>
          </w:p>
          <w:p w14:paraId="00F1CA61">
            <w:pPr>
              <w:pStyle w:val="6"/>
              <w:spacing w:line="254" w:lineRule="auto"/>
            </w:pPr>
          </w:p>
          <w:p w14:paraId="3492EBD6">
            <w:pPr>
              <w:pStyle w:val="6"/>
              <w:spacing w:line="254" w:lineRule="auto"/>
            </w:pPr>
          </w:p>
          <w:p w14:paraId="40AEB6F3">
            <w:pPr>
              <w:spacing w:before="69" w:line="220" w:lineRule="auto"/>
              <w:ind w:left="215"/>
              <w:rPr>
                <w:rFonts w:ascii="宋体" w:hAnsi="宋体" w:eastAsia="宋体" w:cs="宋体"/>
                <w:sz w:val="21"/>
                <w:szCs w:val="21"/>
              </w:rPr>
            </w:pPr>
            <w:r>
              <w:rPr>
                <w:rFonts w:ascii="宋体" w:hAnsi="宋体" w:eastAsia="宋体" w:cs="宋体"/>
                <w:b/>
                <w:bCs/>
                <w:spacing w:val="-4"/>
                <w:sz w:val="21"/>
                <w:szCs w:val="21"/>
              </w:rPr>
              <w:t>光学性能</w:t>
            </w:r>
          </w:p>
        </w:tc>
        <w:tc>
          <w:tcPr>
            <w:tcW w:w="2129" w:type="dxa"/>
            <w:tcBorders>
              <w:left w:val="single" w:color="000000" w:sz="8" w:space="0"/>
              <w:bottom w:val="single" w:color="000000" w:sz="6" w:space="0"/>
              <w:right w:val="single" w:color="000000" w:sz="8" w:space="0"/>
            </w:tcBorders>
            <w:vAlign w:val="top"/>
          </w:tcPr>
          <w:p w14:paraId="465803D6">
            <w:pPr>
              <w:spacing w:before="45" w:line="247" w:lineRule="auto"/>
              <w:ind w:left="482" w:right="105" w:hanging="364"/>
              <w:rPr>
                <w:rFonts w:ascii="Constantia" w:hAnsi="Constantia" w:eastAsia="Constantia" w:cs="Constantia"/>
                <w:sz w:val="13"/>
                <w:szCs w:val="13"/>
              </w:rPr>
            </w:pPr>
            <w:r>
              <w:rPr>
                <w:rFonts w:ascii="宋体" w:hAnsi="宋体" w:eastAsia="宋体" w:cs="宋体"/>
                <w:b/>
                <w:bCs/>
                <w:spacing w:val="-3"/>
                <w:sz w:val="21"/>
                <w:szCs w:val="21"/>
              </w:rPr>
              <w:t>无色透明平板玻璃可</w:t>
            </w:r>
            <w:r>
              <w:rPr>
                <w:rFonts w:ascii="宋体" w:hAnsi="宋体" w:eastAsia="宋体" w:cs="宋体"/>
                <w:sz w:val="21"/>
                <w:szCs w:val="21"/>
              </w:rPr>
              <w:t xml:space="preserve"> </w:t>
            </w:r>
            <w:r>
              <w:rPr>
                <w:rFonts w:ascii="宋体" w:hAnsi="宋体" w:eastAsia="宋体" w:cs="宋体"/>
                <w:b/>
                <w:bCs/>
                <w:spacing w:val="-4"/>
                <w:sz w:val="21"/>
                <w:szCs w:val="21"/>
              </w:rPr>
              <w:t>见光透射比</w:t>
            </w:r>
            <w:r>
              <w:rPr>
                <w:rFonts w:ascii="宋体" w:hAnsi="宋体" w:eastAsia="宋体" w:cs="宋体"/>
                <w:spacing w:val="-46"/>
                <w:sz w:val="21"/>
                <w:szCs w:val="21"/>
              </w:rPr>
              <w:t xml:space="preserve"> </w:t>
            </w:r>
            <w:r>
              <w:rPr>
                <w:rFonts w:ascii="Constantia" w:hAnsi="Constantia" w:eastAsia="Constantia" w:cs="Constantia"/>
                <w:b/>
                <w:bCs/>
                <w:spacing w:val="-4"/>
                <w:position w:val="9"/>
                <w:sz w:val="13"/>
                <w:szCs w:val="13"/>
              </w:rPr>
              <w:t>a</w:t>
            </w:r>
          </w:p>
        </w:tc>
        <w:tc>
          <w:tcPr>
            <w:tcW w:w="2006" w:type="dxa"/>
            <w:vMerge w:val="restart"/>
            <w:tcBorders>
              <w:left w:val="single" w:color="000000" w:sz="6" w:space="0"/>
              <w:bottom w:val="nil"/>
              <w:right w:val="single" w:color="000000" w:sz="8" w:space="0"/>
            </w:tcBorders>
            <w:vAlign w:val="top"/>
          </w:tcPr>
          <w:p w14:paraId="0D984C7A">
            <w:pPr>
              <w:pStyle w:val="6"/>
              <w:spacing w:line="264" w:lineRule="auto"/>
            </w:pPr>
          </w:p>
          <w:p w14:paraId="5CB7D9F0">
            <w:pPr>
              <w:pStyle w:val="6"/>
              <w:spacing w:line="265" w:lineRule="auto"/>
            </w:pPr>
          </w:p>
          <w:p w14:paraId="47CAF631">
            <w:pPr>
              <w:pStyle w:val="6"/>
              <w:spacing w:line="265" w:lineRule="auto"/>
            </w:pPr>
          </w:p>
          <w:p w14:paraId="73150AA9">
            <w:pPr>
              <w:spacing w:before="64" w:line="160" w:lineRule="exact"/>
              <w:ind w:left="257"/>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8"/>
                <w:position w:val="1"/>
                <w:sz w:val="21"/>
                <w:szCs w:val="21"/>
              </w:rPr>
              <w:t xml:space="preserve"> </w:t>
            </w:r>
            <w:r>
              <w:rPr>
                <w:rFonts w:ascii="Constantia" w:hAnsi="Constantia" w:eastAsia="Constantia" w:cs="Constantia"/>
                <w:b/>
                <w:bCs/>
                <w:spacing w:val="2"/>
                <w:position w:val="1"/>
                <w:sz w:val="21"/>
                <w:szCs w:val="21"/>
              </w:rPr>
              <w:t>11614—2022</w:t>
            </w:r>
          </w:p>
        </w:tc>
        <w:tc>
          <w:tcPr>
            <w:tcW w:w="2033" w:type="dxa"/>
            <w:vMerge w:val="restart"/>
            <w:tcBorders>
              <w:left w:val="single" w:color="000000" w:sz="8" w:space="0"/>
              <w:bottom w:val="nil"/>
              <w:right w:val="single" w:color="000000" w:sz="6" w:space="0"/>
            </w:tcBorders>
            <w:vAlign w:val="top"/>
          </w:tcPr>
          <w:p w14:paraId="18ED94E7">
            <w:pPr>
              <w:pStyle w:val="6"/>
              <w:spacing w:line="264" w:lineRule="auto"/>
            </w:pPr>
          </w:p>
          <w:p w14:paraId="674185CA">
            <w:pPr>
              <w:pStyle w:val="6"/>
              <w:spacing w:line="265" w:lineRule="auto"/>
            </w:pPr>
          </w:p>
          <w:p w14:paraId="09FEAE92">
            <w:pPr>
              <w:pStyle w:val="6"/>
              <w:spacing w:line="265" w:lineRule="auto"/>
            </w:pPr>
          </w:p>
          <w:p w14:paraId="526A0D5E">
            <w:pPr>
              <w:spacing w:before="64" w:line="160" w:lineRule="exact"/>
              <w:ind w:left="272"/>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8"/>
                <w:position w:val="1"/>
                <w:sz w:val="21"/>
                <w:szCs w:val="21"/>
              </w:rPr>
              <w:t xml:space="preserve"> </w:t>
            </w:r>
            <w:r>
              <w:rPr>
                <w:rFonts w:ascii="Constantia" w:hAnsi="Constantia" w:eastAsia="Constantia" w:cs="Constantia"/>
                <w:b/>
                <w:bCs/>
                <w:spacing w:val="2"/>
                <w:position w:val="1"/>
                <w:sz w:val="21"/>
                <w:szCs w:val="21"/>
              </w:rPr>
              <w:t>11614—2022</w:t>
            </w:r>
          </w:p>
        </w:tc>
      </w:tr>
      <w:tr w14:paraId="2B28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035" w:type="dxa"/>
            <w:vMerge w:val="continue"/>
            <w:tcBorders>
              <w:top w:val="nil"/>
              <w:left w:val="single" w:color="000000" w:sz="6" w:space="0"/>
              <w:bottom w:val="nil"/>
              <w:right w:val="single" w:color="000000" w:sz="8" w:space="0"/>
            </w:tcBorders>
            <w:vAlign w:val="top"/>
          </w:tcPr>
          <w:p w14:paraId="0972970D">
            <w:pPr>
              <w:pStyle w:val="6"/>
            </w:pPr>
          </w:p>
        </w:tc>
        <w:tc>
          <w:tcPr>
            <w:tcW w:w="1277" w:type="dxa"/>
            <w:vMerge w:val="continue"/>
            <w:tcBorders>
              <w:top w:val="nil"/>
              <w:left w:val="single" w:color="000000" w:sz="8" w:space="0"/>
              <w:bottom w:val="nil"/>
              <w:right w:val="single" w:color="000000" w:sz="8" w:space="0"/>
            </w:tcBorders>
            <w:vAlign w:val="top"/>
          </w:tcPr>
          <w:p w14:paraId="6D16B3A2">
            <w:pPr>
              <w:pStyle w:val="6"/>
            </w:pPr>
          </w:p>
        </w:tc>
        <w:tc>
          <w:tcPr>
            <w:tcW w:w="2129" w:type="dxa"/>
            <w:tcBorders>
              <w:left w:val="single" w:color="000000" w:sz="8" w:space="0"/>
              <w:bottom w:val="single" w:color="000000" w:sz="6" w:space="0"/>
              <w:right w:val="single" w:color="000000" w:sz="6" w:space="0"/>
            </w:tcBorders>
            <w:vAlign w:val="top"/>
          </w:tcPr>
          <w:p w14:paraId="437BE32C">
            <w:pPr>
              <w:spacing w:before="43" w:line="246" w:lineRule="auto"/>
              <w:ind w:left="579" w:right="108" w:hanging="462"/>
              <w:rPr>
                <w:rFonts w:ascii="Constantia" w:hAnsi="Constantia" w:eastAsia="Constantia" w:cs="Constantia"/>
                <w:sz w:val="13"/>
                <w:szCs w:val="13"/>
              </w:rPr>
            </w:pPr>
            <w:r>
              <w:rPr>
                <w:rFonts w:ascii="宋体" w:hAnsi="宋体" w:eastAsia="宋体" w:cs="宋体"/>
                <w:b/>
                <w:bCs/>
                <w:spacing w:val="-3"/>
                <w:sz w:val="21"/>
                <w:szCs w:val="21"/>
              </w:rPr>
              <w:t>本体着色平板玻璃透</w:t>
            </w:r>
            <w:r>
              <w:rPr>
                <w:rFonts w:ascii="宋体" w:hAnsi="宋体" w:eastAsia="宋体" w:cs="宋体"/>
                <w:spacing w:val="1"/>
                <w:sz w:val="21"/>
                <w:szCs w:val="21"/>
              </w:rPr>
              <w:t xml:space="preserve"> </w:t>
            </w:r>
            <w:r>
              <w:rPr>
                <w:rFonts w:ascii="宋体" w:hAnsi="宋体" w:eastAsia="宋体" w:cs="宋体"/>
                <w:b/>
                <w:bCs/>
                <w:spacing w:val="-3"/>
                <w:position w:val="-1"/>
                <w:sz w:val="21"/>
                <w:szCs w:val="21"/>
              </w:rPr>
              <w:t>射比偏差</w:t>
            </w:r>
            <w:r>
              <w:rPr>
                <w:rFonts w:ascii="宋体" w:hAnsi="宋体" w:eastAsia="宋体" w:cs="宋体"/>
                <w:spacing w:val="-53"/>
                <w:position w:val="-1"/>
                <w:sz w:val="21"/>
                <w:szCs w:val="21"/>
              </w:rPr>
              <w:t xml:space="preserve"> </w:t>
            </w:r>
            <w:r>
              <w:rPr>
                <w:rFonts w:ascii="Constantia" w:hAnsi="Constantia" w:eastAsia="Constantia" w:cs="Constantia"/>
                <w:b/>
                <w:bCs/>
                <w:spacing w:val="-3"/>
                <w:position w:val="8"/>
                <w:sz w:val="13"/>
                <w:szCs w:val="13"/>
              </w:rPr>
              <w:t>b</w:t>
            </w:r>
          </w:p>
        </w:tc>
        <w:tc>
          <w:tcPr>
            <w:tcW w:w="2006" w:type="dxa"/>
            <w:vMerge w:val="continue"/>
            <w:tcBorders>
              <w:top w:val="nil"/>
              <w:left w:val="single" w:color="000000" w:sz="6" w:space="0"/>
              <w:bottom w:val="nil"/>
              <w:right w:val="single" w:color="000000" w:sz="8" w:space="0"/>
            </w:tcBorders>
            <w:vAlign w:val="top"/>
          </w:tcPr>
          <w:p w14:paraId="5DE8447D">
            <w:pPr>
              <w:pStyle w:val="6"/>
            </w:pPr>
          </w:p>
        </w:tc>
        <w:tc>
          <w:tcPr>
            <w:tcW w:w="2033" w:type="dxa"/>
            <w:vMerge w:val="continue"/>
            <w:tcBorders>
              <w:top w:val="nil"/>
              <w:left w:val="single" w:color="000000" w:sz="8" w:space="0"/>
              <w:bottom w:val="nil"/>
              <w:right w:val="single" w:color="000000" w:sz="6" w:space="0"/>
            </w:tcBorders>
            <w:vAlign w:val="top"/>
          </w:tcPr>
          <w:p w14:paraId="1DA5D942">
            <w:pPr>
              <w:pStyle w:val="6"/>
            </w:pPr>
          </w:p>
        </w:tc>
      </w:tr>
      <w:tr w14:paraId="20ED5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035" w:type="dxa"/>
            <w:vMerge w:val="continue"/>
            <w:tcBorders>
              <w:top w:val="nil"/>
              <w:left w:val="single" w:color="000000" w:sz="6" w:space="0"/>
              <w:right w:val="single" w:color="000000" w:sz="8" w:space="0"/>
            </w:tcBorders>
            <w:vAlign w:val="top"/>
          </w:tcPr>
          <w:p w14:paraId="6B1F5A2E">
            <w:pPr>
              <w:pStyle w:val="6"/>
            </w:pPr>
          </w:p>
        </w:tc>
        <w:tc>
          <w:tcPr>
            <w:tcW w:w="1277" w:type="dxa"/>
            <w:vMerge w:val="continue"/>
            <w:tcBorders>
              <w:top w:val="nil"/>
              <w:left w:val="single" w:color="000000" w:sz="8" w:space="0"/>
              <w:right w:val="single" w:color="000000" w:sz="8" w:space="0"/>
            </w:tcBorders>
            <w:vAlign w:val="top"/>
          </w:tcPr>
          <w:p w14:paraId="5EB1F46F">
            <w:pPr>
              <w:pStyle w:val="6"/>
            </w:pPr>
          </w:p>
        </w:tc>
        <w:tc>
          <w:tcPr>
            <w:tcW w:w="2129" w:type="dxa"/>
            <w:tcBorders>
              <w:left w:val="single" w:color="000000" w:sz="8" w:space="0"/>
              <w:right w:val="single" w:color="000000" w:sz="6" w:space="0"/>
            </w:tcBorders>
            <w:vAlign w:val="top"/>
          </w:tcPr>
          <w:p w14:paraId="6E2BA541">
            <w:pPr>
              <w:spacing w:before="50" w:line="246" w:lineRule="auto"/>
              <w:ind w:left="581" w:right="108" w:hanging="464"/>
              <w:rPr>
                <w:rFonts w:ascii="Constantia" w:hAnsi="Constantia" w:eastAsia="Constantia" w:cs="Constantia"/>
                <w:sz w:val="13"/>
                <w:szCs w:val="13"/>
              </w:rPr>
            </w:pPr>
            <w:r>
              <w:rPr>
                <w:rFonts w:ascii="宋体" w:hAnsi="宋体" w:eastAsia="宋体" w:cs="宋体"/>
                <w:b/>
                <w:bCs/>
                <w:spacing w:val="-3"/>
                <w:sz w:val="21"/>
                <w:szCs w:val="21"/>
              </w:rPr>
              <w:t>本体着色平板玻璃颜</w:t>
            </w:r>
            <w:r>
              <w:rPr>
                <w:rFonts w:ascii="宋体" w:hAnsi="宋体" w:eastAsia="宋体" w:cs="宋体"/>
                <w:spacing w:val="1"/>
                <w:sz w:val="21"/>
                <w:szCs w:val="21"/>
              </w:rPr>
              <w:t xml:space="preserve"> </w:t>
            </w:r>
            <w:r>
              <w:rPr>
                <w:rFonts w:ascii="宋体" w:hAnsi="宋体" w:eastAsia="宋体" w:cs="宋体"/>
                <w:b/>
                <w:bCs/>
                <w:spacing w:val="-4"/>
                <w:position w:val="-1"/>
                <w:sz w:val="21"/>
                <w:szCs w:val="21"/>
              </w:rPr>
              <w:t>色均匀性</w:t>
            </w:r>
            <w:r>
              <w:rPr>
                <w:rFonts w:ascii="宋体" w:hAnsi="宋体" w:eastAsia="宋体" w:cs="宋体"/>
                <w:spacing w:val="-51"/>
                <w:position w:val="-1"/>
                <w:sz w:val="21"/>
                <w:szCs w:val="21"/>
              </w:rPr>
              <w:t xml:space="preserve"> </w:t>
            </w:r>
            <w:r>
              <w:rPr>
                <w:rFonts w:ascii="Constantia" w:hAnsi="Constantia" w:eastAsia="Constantia" w:cs="Constantia"/>
                <w:b/>
                <w:bCs/>
                <w:spacing w:val="-4"/>
                <w:position w:val="8"/>
                <w:sz w:val="13"/>
                <w:szCs w:val="13"/>
              </w:rPr>
              <w:t>b</w:t>
            </w:r>
          </w:p>
        </w:tc>
        <w:tc>
          <w:tcPr>
            <w:tcW w:w="2006" w:type="dxa"/>
            <w:vMerge w:val="continue"/>
            <w:tcBorders>
              <w:top w:val="nil"/>
              <w:left w:val="single" w:color="000000" w:sz="6" w:space="0"/>
              <w:right w:val="single" w:color="000000" w:sz="8" w:space="0"/>
            </w:tcBorders>
            <w:vAlign w:val="top"/>
          </w:tcPr>
          <w:p w14:paraId="76269E2A">
            <w:pPr>
              <w:pStyle w:val="6"/>
            </w:pPr>
          </w:p>
        </w:tc>
        <w:tc>
          <w:tcPr>
            <w:tcW w:w="2033" w:type="dxa"/>
            <w:vMerge w:val="continue"/>
            <w:tcBorders>
              <w:top w:val="nil"/>
              <w:left w:val="single" w:color="000000" w:sz="8" w:space="0"/>
              <w:right w:val="single" w:color="000000" w:sz="6" w:space="0"/>
            </w:tcBorders>
            <w:vAlign w:val="top"/>
          </w:tcPr>
          <w:p w14:paraId="03D9DC6D">
            <w:pPr>
              <w:pStyle w:val="6"/>
            </w:pPr>
          </w:p>
        </w:tc>
      </w:tr>
      <w:tr w14:paraId="73199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8480" w:type="dxa"/>
            <w:gridSpan w:val="5"/>
            <w:vAlign w:val="top"/>
          </w:tcPr>
          <w:p w14:paraId="703FEB83">
            <w:pPr>
              <w:spacing w:before="56" w:line="230" w:lineRule="auto"/>
              <w:ind w:left="313" w:right="5675" w:firstLine="5"/>
              <w:rPr>
                <w:rFonts w:ascii="宋体" w:hAnsi="宋体" w:eastAsia="宋体" w:cs="宋体"/>
                <w:sz w:val="21"/>
                <w:szCs w:val="21"/>
              </w:rPr>
            </w:pPr>
            <w:r>
              <w:rPr>
                <w:rFonts w:ascii="Constantia" w:hAnsi="Constantia" w:eastAsia="Constantia" w:cs="Constantia"/>
                <w:b/>
                <w:bCs/>
                <w:spacing w:val="-4"/>
                <w:position w:val="9"/>
                <w:sz w:val="13"/>
                <w:szCs w:val="13"/>
              </w:rPr>
              <w:t xml:space="preserve">a    </w:t>
            </w:r>
            <w:r>
              <w:rPr>
                <w:rFonts w:ascii="宋体" w:hAnsi="宋体" w:eastAsia="宋体" w:cs="宋体"/>
                <w:b/>
                <w:bCs/>
                <w:spacing w:val="-4"/>
                <w:sz w:val="21"/>
                <w:szCs w:val="21"/>
              </w:rPr>
              <w:t>只针对无色透明平板玻璃</w:t>
            </w:r>
            <w:r>
              <w:rPr>
                <w:rFonts w:ascii="宋体" w:hAnsi="宋体" w:eastAsia="宋体" w:cs="宋体"/>
                <w:spacing w:val="8"/>
                <w:sz w:val="21"/>
                <w:szCs w:val="21"/>
              </w:rPr>
              <w:t xml:space="preserve"> </w:t>
            </w:r>
            <w:r>
              <w:rPr>
                <w:rFonts w:ascii="Constantia" w:hAnsi="Constantia" w:eastAsia="Constantia" w:cs="Constantia"/>
                <w:b/>
                <w:bCs/>
                <w:spacing w:val="-4"/>
                <w:position w:val="9"/>
                <w:sz w:val="13"/>
                <w:szCs w:val="13"/>
              </w:rPr>
              <w:t xml:space="preserve">b    </w:t>
            </w:r>
            <w:r>
              <w:rPr>
                <w:rFonts w:ascii="宋体" w:hAnsi="宋体" w:eastAsia="宋体" w:cs="宋体"/>
                <w:b/>
                <w:bCs/>
                <w:spacing w:val="-4"/>
                <w:sz w:val="21"/>
                <w:szCs w:val="21"/>
              </w:rPr>
              <w:t>只针对本体着色平板玻璃</w:t>
            </w:r>
          </w:p>
        </w:tc>
      </w:tr>
    </w:tbl>
    <w:p w14:paraId="3AB16C81">
      <w:pPr>
        <w:spacing w:before="171" w:line="220" w:lineRule="auto"/>
        <w:ind w:left="423"/>
        <w:rPr>
          <w:rFonts w:ascii="宋体" w:hAnsi="宋体" w:eastAsia="宋体" w:cs="宋体"/>
          <w:sz w:val="21"/>
          <w:szCs w:val="21"/>
        </w:rPr>
      </w:pPr>
      <w:r>
        <w:rPr>
          <w:rFonts w:ascii="宋体" w:hAnsi="宋体" w:eastAsia="宋体" w:cs="宋体"/>
          <w:b/>
          <w:bCs/>
          <w:spacing w:val="-2"/>
          <w:sz w:val="21"/>
          <w:szCs w:val="21"/>
        </w:rPr>
        <w:t>执行企业标准、团体标准、地方标准的产品，检</w:t>
      </w:r>
      <w:r>
        <w:rPr>
          <w:rFonts w:ascii="宋体" w:hAnsi="宋体" w:eastAsia="宋体" w:cs="宋体"/>
          <w:b/>
          <w:bCs/>
          <w:spacing w:val="-3"/>
          <w:sz w:val="21"/>
          <w:szCs w:val="21"/>
        </w:rPr>
        <w:t>验项目参照上述内容执行。</w:t>
      </w:r>
    </w:p>
    <w:p w14:paraId="30A3A420">
      <w:pPr>
        <w:spacing w:before="192" w:line="372" w:lineRule="auto"/>
        <w:ind w:left="8" w:firstLine="420"/>
        <w:rPr>
          <w:rFonts w:ascii="宋体" w:hAnsi="宋体" w:eastAsia="宋体" w:cs="宋体"/>
          <w:sz w:val="21"/>
          <w:szCs w:val="21"/>
        </w:rPr>
      </w:pPr>
      <w:r>
        <w:rPr>
          <w:rFonts w:ascii="宋体" w:hAnsi="宋体" w:eastAsia="宋体" w:cs="宋体"/>
          <w:b/>
          <w:bCs/>
          <w:spacing w:val="-6"/>
          <w:sz w:val="21"/>
          <w:szCs w:val="21"/>
        </w:rPr>
        <w:t>凡是注日期的文件，其随后所有的修改单（不包括勘误的内容）或修订版不适用于本细则。</w:t>
      </w:r>
      <w:r>
        <w:rPr>
          <w:rFonts w:ascii="宋体" w:hAnsi="宋体" w:eastAsia="宋体" w:cs="宋体"/>
          <w:spacing w:val="13"/>
          <w:sz w:val="21"/>
          <w:szCs w:val="21"/>
        </w:rPr>
        <w:t xml:space="preserve"> </w:t>
      </w:r>
      <w:r>
        <w:rPr>
          <w:rFonts w:ascii="宋体" w:hAnsi="宋体" w:eastAsia="宋体" w:cs="宋体"/>
          <w:b/>
          <w:bCs/>
          <w:spacing w:val="-3"/>
          <w:sz w:val="21"/>
          <w:szCs w:val="21"/>
        </w:rPr>
        <w:t>凡是不注日期的文件，其最新版本适用于本细则。</w:t>
      </w:r>
    </w:p>
    <w:p w14:paraId="34DB2C42">
      <w:pPr>
        <w:pStyle w:val="2"/>
        <w:spacing w:before="31" w:line="293" w:lineRule="auto"/>
        <w:ind w:left="4" w:right="7538"/>
        <w:outlineLvl w:val="1"/>
        <w:rPr>
          <w:rFonts w:ascii="宋体" w:hAnsi="宋体" w:eastAsia="宋体" w:cs="宋体"/>
        </w:rPr>
      </w:pPr>
      <w:r>
        <w:rPr>
          <w:b/>
          <w:bCs/>
          <w:spacing w:val="-3"/>
        </w:rPr>
        <w:t>3</w:t>
      </w:r>
      <w:r>
        <w:rPr>
          <w:b/>
          <w:bCs/>
          <w:spacing w:val="7"/>
        </w:rPr>
        <w:t xml:space="preserve">  </w:t>
      </w:r>
      <w:r>
        <w:rPr>
          <w:rFonts w:ascii="宋体" w:hAnsi="宋体" w:eastAsia="宋体" w:cs="宋体"/>
          <w:b/>
          <w:bCs/>
          <w:spacing w:val="-3"/>
        </w:rPr>
        <w:t>判定规则</w:t>
      </w:r>
      <w:r>
        <w:rPr>
          <w:rFonts w:ascii="宋体" w:hAnsi="宋体" w:eastAsia="宋体" w:cs="宋体"/>
        </w:rPr>
        <w:t xml:space="preserve">  </w:t>
      </w:r>
      <w:r>
        <w:rPr>
          <w:b/>
          <w:bCs/>
        </w:rPr>
        <w:t>3.1</w:t>
      </w:r>
      <w:r>
        <w:rPr>
          <w:b/>
          <w:bCs/>
          <w:spacing w:val="16"/>
        </w:rPr>
        <w:t xml:space="preserve"> </w:t>
      </w:r>
      <w:r>
        <w:rPr>
          <w:rFonts w:ascii="宋体" w:hAnsi="宋体" w:eastAsia="宋体" w:cs="宋体"/>
          <w:b/>
          <w:bCs/>
        </w:rPr>
        <w:t>依据标准</w:t>
      </w:r>
    </w:p>
    <w:p w14:paraId="2E4576B3">
      <w:pPr>
        <w:pStyle w:val="2"/>
        <w:spacing w:before="215" w:line="200" w:lineRule="auto"/>
        <w:ind w:left="422"/>
        <w:rPr>
          <w:rFonts w:ascii="宋体" w:hAnsi="宋体" w:eastAsia="宋体" w:cs="宋体"/>
        </w:rPr>
      </w:pPr>
      <w:r>
        <w:rPr>
          <w:b/>
          <w:bCs/>
        </w:rPr>
        <w:t>GB</w:t>
      </w:r>
      <w:r>
        <w:rPr>
          <w:b/>
          <w:bCs/>
          <w:spacing w:val="29"/>
          <w:w w:val="101"/>
        </w:rPr>
        <w:t xml:space="preserve"> </w:t>
      </w:r>
      <w:r>
        <w:rPr>
          <w:b/>
          <w:bCs/>
          <w:spacing w:val="1"/>
        </w:rPr>
        <w:t xml:space="preserve">11614—2022  </w:t>
      </w:r>
      <w:r>
        <w:rPr>
          <w:rFonts w:ascii="宋体" w:hAnsi="宋体" w:eastAsia="宋体" w:cs="宋体"/>
          <w:b/>
          <w:bCs/>
          <w:spacing w:val="1"/>
        </w:rPr>
        <w:t>平板玻璃</w:t>
      </w:r>
    </w:p>
    <w:p w14:paraId="58638075">
      <w:pPr>
        <w:spacing w:before="212" w:line="220" w:lineRule="auto"/>
        <w:ind w:left="425"/>
        <w:rPr>
          <w:rFonts w:ascii="宋体" w:hAnsi="宋体" w:eastAsia="宋体" w:cs="宋体"/>
          <w:sz w:val="21"/>
          <w:szCs w:val="21"/>
        </w:rPr>
      </w:pPr>
      <w:r>
        <w:rPr>
          <w:rFonts w:ascii="宋体" w:hAnsi="宋体" w:eastAsia="宋体" w:cs="宋体"/>
          <w:b/>
          <w:bCs/>
          <w:spacing w:val="-3"/>
          <w:sz w:val="21"/>
          <w:szCs w:val="21"/>
        </w:rPr>
        <w:t>现行有效的企业标准、团体标准、地方标准及产品明示质量要求</w:t>
      </w:r>
    </w:p>
    <w:p w14:paraId="6F51E7A8">
      <w:pPr>
        <w:pStyle w:val="2"/>
        <w:spacing w:before="190" w:line="198" w:lineRule="auto"/>
        <w:ind w:left="4"/>
        <w:outlineLvl w:val="1"/>
        <w:rPr>
          <w:rFonts w:ascii="宋体" w:hAnsi="宋体" w:eastAsia="宋体" w:cs="宋体"/>
        </w:rPr>
      </w:pPr>
      <w:r>
        <w:rPr>
          <w:b/>
          <w:bCs/>
          <w:spacing w:val="-3"/>
        </w:rPr>
        <w:t>3.2</w:t>
      </w:r>
      <w:r>
        <w:rPr>
          <w:b/>
          <w:bCs/>
          <w:spacing w:val="12"/>
          <w:w w:val="101"/>
        </w:rPr>
        <w:t xml:space="preserve"> </w:t>
      </w:r>
      <w:r>
        <w:rPr>
          <w:rFonts w:ascii="宋体" w:hAnsi="宋体" w:eastAsia="宋体" w:cs="宋体"/>
          <w:b/>
          <w:bCs/>
          <w:spacing w:val="-3"/>
        </w:rPr>
        <w:t>判定原则</w:t>
      </w:r>
    </w:p>
    <w:p w14:paraId="0F0D9E33">
      <w:pPr>
        <w:spacing w:line="198" w:lineRule="auto"/>
        <w:rPr>
          <w:rFonts w:ascii="宋体" w:hAnsi="宋体" w:eastAsia="宋体" w:cs="宋体"/>
        </w:rPr>
        <w:sectPr>
          <w:footerReference r:id="rId5" w:type="default"/>
          <w:pgSz w:w="11907" w:h="16839"/>
          <w:pgMar w:top="1431" w:right="1566" w:bottom="1160" w:left="1648" w:header="0" w:footer="988" w:gutter="0"/>
          <w:cols w:space="720" w:num="1"/>
        </w:sectPr>
      </w:pPr>
    </w:p>
    <w:p w14:paraId="2604CFD1">
      <w:pPr>
        <w:spacing w:line="370" w:lineRule="auto"/>
        <w:rPr>
          <w:rFonts w:ascii="Arial"/>
          <w:sz w:val="21"/>
        </w:rPr>
      </w:pPr>
    </w:p>
    <w:p w14:paraId="314E990D">
      <w:pPr>
        <w:pStyle w:val="2"/>
        <w:spacing w:before="68" w:line="373" w:lineRule="auto"/>
        <w:ind w:left="2" w:right="55" w:hanging="2"/>
        <w:rPr>
          <w:rFonts w:ascii="宋体" w:hAnsi="宋体" w:eastAsia="宋体" w:cs="宋体"/>
        </w:rPr>
      </w:pPr>
      <w:r>
        <w:rPr>
          <w:b/>
          <w:bCs/>
          <w:spacing w:val="-1"/>
        </w:rPr>
        <w:t xml:space="preserve">3.2.1 </w:t>
      </w:r>
      <w:r>
        <w:rPr>
          <w:rFonts w:ascii="宋体" w:hAnsi="宋体" w:eastAsia="宋体" w:cs="宋体"/>
          <w:b/>
          <w:bCs/>
          <w:spacing w:val="-1"/>
        </w:rPr>
        <w:t>对厚度偏差、厚薄差、点状缺陷、点状缺陷密集度、线道、裂纹等项目进行检验时，</w:t>
      </w:r>
      <w:r>
        <w:rPr>
          <w:b/>
          <w:bCs/>
          <w:spacing w:val="-1"/>
        </w:rPr>
        <w:t>1</w:t>
      </w:r>
      <w:r>
        <w:rPr>
          <w:b/>
          <w:bCs/>
          <w:spacing w:val="23"/>
        </w:rPr>
        <w:t xml:space="preserve"> </w:t>
      </w:r>
      <w:r>
        <w:rPr>
          <w:rFonts w:ascii="宋体" w:hAnsi="宋体" w:eastAsia="宋体" w:cs="宋体"/>
          <w:b/>
          <w:bCs/>
          <w:spacing w:val="-1"/>
        </w:rPr>
        <w:t>片</w:t>
      </w:r>
      <w:r>
        <w:rPr>
          <w:rFonts w:ascii="宋体" w:hAnsi="宋体" w:eastAsia="宋体" w:cs="宋体"/>
        </w:rPr>
        <w:t xml:space="preserve"> </w:t>
      </w:r>
      <w:r>
        <w:rPr>
          <w:rFonts w:ascii="宋体" w:hAnsi="宋体" w:eastAsia="宋体" w:cs="宋体"/>
          <w:b/>
          <w:bCs/>
          <w:spacing w:val="-2"/>
        </w:rPr>
        <w:t>玻璃其检验结果的上述指标均达到该等级的要求则该片玻璃</w:t>
      </w:r>
      <w:r>
        <w:rPr>
          <w:rFonts w:ascii="宋体" w:hAnsi="宋体" w:eastAsia="宋体" w:cs="宋体"/>
          <w:b/>
          <w:bCs/>
          <w:spacing w:val="-3"/>
        </w:rPr>
        <w:t>上述指标合格，否则为不合格。</w:t>
      </w:r>
    </w:p>
    <w:p w14:paraId="3F6D79F9">
      <w:pPr>
        <w:pStyle w:val="2"/>
        <w:spacing w:before="30" w:line="380" w:lineRule="auto"/>
        <w:ind w:right="55" w:firstLine="419"/>
        <w:jc w:val="both"/>
        <w:rPr>
          <w:rFonts w:ascii="宋体" w:hAnsi="宋体" w:eastAsia="宋体" w:cs="宋体"/>
        </w:rPr>
      </w:pPr>
      <w:r>
        <w:rPr>
          <w:rFonts w:ascii="宋体" w:hAnsi="宋体" w:eastAsia="宋体" w:cs="宋体"/>
          <w:b/>
          <w:bCs/>
          <w:spacing w:val="-6"/>
        </w:rPr>
        <w:t>样品数量为</w:t>
      </w:r>
      <w:r>
        <w:rPr>
          <w:rFonts w:ascii="宋体" w:hAnsi="宋体" w:eastAsia="宋体" w:cs="宋体"/>
          <w:spacing w:val="-33"/>
        </w:rPr>
        <w:t xml:space="preserve"> </w:t>
      </w:r>
      <w:r>
        <w:rPr>
          <w:b/>
          <w:bCs/>
          <w:spacing w:val="-6"/>
        </w:rPr>
        <w:t>20</w:t>
      </w:r>
      <w:r>
        <w:rPr>
          <w:b/>
          <w:bCs/>
          <w:spacing w:val="13"/>
          <w:w w:val="101"/>
        </w:rPr>
        <w:t xml:space="preserve"> </w:t>
      </w:r>
      <w:r>
        <w:rPr>
          <w:rFonts w:ascii="宋体" w:hAnsi="宋体" w:eastAsia="宋体" w:cs="宋体"/>
          <w:b/>
          <w:bCs/>
          <w:spacing w:val="-6"/>
        </w:rPr>
        <w:t>片时，若不合格片数小于或等于</w:t>
      </w:r>
      <w:r>
        <w:rPr>
          <w:rFonts w:ascii="宋体" w:hAnsi="宋体" w:eastAsia="宋体" w:cs="宋体"/>
          <w:spacing w:val="-43"/>
        </w:rPr>
        <w:t xml:space="preserve"> </w:t>
      </w:r>
      <w:r>
        <w:rPr>
          <w:b/>
          <w:bCs/>
          <w:spacing w:val="-6"/>
        </w:rPr>
        <w:t>3</w:t>
      </w:r>
      <w:r>
        <w:rPr>
          <w:b/>
          <w:bCs/>
          <w:spacing w:val="15"/>
          <w:w w:val="101"/>
        </w:rPr>
        <w:t xml:space="preserve"> </w:t>
      </w:r>
      <w:r>
        <w:rPr>
          <w:rFonts w:ascii="宋体" w:hAnsi="宋体" w:eastAsia="宋体" w:cs="宋体"/>
          <w:b/>
          <w:bCs/>
          <w:spacing w:val="-6"/>
        </w:rPr>
        <w:t>片，则被抽查产品上述指标合格；若不合</w:t>
      </w:r>
      <w:r>
        <w:rPr>
          <w:rFonts w:ascii="宋体" w:hAnsi="宋体" w:eastAsia="宋体" w:cs="宋体"/>
        </w:rPr>
        <w:t xml:space="preserve"> </w:t>
      </w:r>
      <w:r>
        <w:rPr>
          <w:rFonts w:ascii="宋体" w:hAnsi="宋体" w:eastAsia="宋体" w:cs="宋体"/>
          <w:b/>
          <w:bCs/>
          <w:spacing w:val="-5"/>
        </w:rPr>
        <w:t>格片数等于或大于</w:t>
      </w:r>
      <w:r>
        <w:rPr>
          <w:rFonts w:ascii="宋体" w:hAnsi="宋体" w:eastAsia="宋体" w:cs="宋体"/>
          <w:spacing w:val="-44"/>
        </w:rPr>
        <w:t xml:space="preserve"> </w:t>
      </w:r>
      <w:r>
        <w:rPr>
          <w:b/>
          <w:bCs/>
          <w:spacing w:val="-5"/>
        </w:rPr>
        <w:t>4</w:t>
      </w:r>
      <w:r>
        <w:rPr>
          <w:b/>
          <w:bCs/>
          <w:spacing w:val="14"/>
        </w:rPr>
        <w:t xml:space="preserve"> </w:t>
      </w:r>
      <w:r>
        <w:rPr>
          <w:rFonts w:ascii="宋体" w:hAnsi="宋体" w:eastAsia="宋体" w:cs="宋体"/>
          <w:b/>
          <w:bCs/>
          <w:spacing w:val="-5"/>
        </w:rPr>
        <w:t>片，则被抽查产品上述指标不合格；样品数量为</w:t>
      </w:r>
      <w:r>
        <w:rPr>
          <w:rFonts w:ascii="宋体" w:hAnsi="宋体" w:eastAsia="宋体" w:cs="宋体"/>
          <w:spacing w:val="-28"/>
        </w:rPr>
        <w:t xml:space="preserve"> </w:t>
      </w:r>
      <w:r>
        <w:rPr>
          <w:b/>
          <w:bCs/>
          <w:spacing w:val="-5"/>
        </w:rPr>
        <w:t>13</w:t>
      </w:r>
      <w:r>
        <w:rPr>
          <w:b/>
          <w:bCs/>
          <w:spacing w:val="13"/>
          <w:w w:val="101"/>
        </w:rPr>
        <w:t xml:space="preserve"> </w:t>
      </w:r>
      <w:r>
        <w:rPr>
          <w:rFonts w:ascii="宋体" w:hAnsi="宋体" w:eastAsia="宋体" w:cs="宋体"/>
          <w:b/>
          <w:bCs/>
          <w:spacing w:val="-5"/>
        </w:rPr>
        <w:t>片时，若不合格片数小</w:t>
      </w:r>
      <w:r>
        <w:rPr>
          <w:rFonts w:ascii="宋体" w:hAnsi="宋体" w:eastAsia="宋体" w:cs="宋体"/>
        </w:rPr>
        <w:t xml:space="preserve"> </w:t>
      </w:r>
      <w:r>
        <w:rPr>
          <w:rFonts w:ascii="宋体" w:hAnsi="宋体" w:eastAsia="宋体" w:cs="宋体"/>
          <w:b/>
          <w:bCs/>
          <w:spacing w:val="-3"/>
        </w:rPr>
        <w:t>于或等于</w:t>
      </w:r>
      <w:r>
        <w:rPr>
          <w:rFonts w:ascii="宋体" w:hAnsi="宋体" w:eastAsia="宋体" w:cs="宋体"/>
          <w:spacing w:val="-44"/>
        </w:rPr>
        <w:t xml:space="preserve"> </w:t>
      </w:r>
      <w:r>
        <w:rPr>
          <w:b/>
          <w:bCs/>
          <w:spacing w:val="-3"/>
        </w:rPr>
        <w:t>2</w:t>
      </w:r>
      <w:r>
        <w:rPr>
          <w:b/>
          <w:bCs/>
          <w:spacing w:val="18"/>
        </w:rPr>
        <w:t xml:space="preserve"> </w:t>
      </w:r>
      <w:r>
        <w:rPr>
          <w:rFonts w:ascii="宋体" w:hAnsi="宋体" w:eastAsia="宋体" w:cs="宋体"/>
          <w:b/>
          <w:bCs/>
          <w:spacing w:val="-3"/>
        </w:rPr>
        <w:t>片，则被抽查产品上述指标合格；若不合格片数等于或大于</w:t>
      </w:r>
      <w:r>
        <w:rPr>
          <w:rFonts w:ascii="宋体" w:hAnsi="宋体" w:eastAsia="宋体" w:cs="宋体"/>
          <w:spacing w:val="-41"/>
        </w:rPr>
        <w:t xml:space="preserve"> </w:t>
      </w:r>
      <w:r>
        <w:rPr>
          <w:b/>
          <w:bCs/>
          <w:spacing w:val="-3"/>
        </w:rPr>
        <w:t>3</w:t>
      </w:r>
      <w:r>
        <w:rPr>
          <w:b/>
          <w:bCs/>
          <w:spacing w:val="16"/>
        </w:rPr>
        <w:t xml:space="preserve"> </w:t>
      </w:r>
      <w:r>
        <w:rPr>
          <w:rFonts w:ascii="宋体" w:hAnsi="宋体" w:eastAsia="宋体" w:cs="宋体"/>
          <w:b/>
          <w:bCs/>
          <w:spacing w:val="-3"/>
        </w:rPr>
        <w:t>片，则被抽查产品上</w:t>
      </w:r>
      <w:r>
        <w:rPr>
          <w:rFonts w:ascii="宋体" w:hAnsi="宋体" w:eastAsia="宋体" w:cs="宋体"/>
        </w:rPr>
        <w:t xml:space="preserve"> </w:t>
      </w:r>
      <w:r>
        <w:rPr>
          <w:rFonts w:ascii="宋体" w:hAnsi="宋体" w:eastAsia="宋体" w:cs="宋体"/>
          <w:b/>
          <w:bCs/>
          <w:spacing w:val="-2"/>
        </w:rPr>
        <w:t>述指标不合格。不合格的上述指标是指上述指</w:t>
      </w:r>
      <w:r>
        <w:rPr>
          <w:rFonts w:ascii="宋体" w:hAnsi="宋体" w:eastAsia="宋体" w:cs="宋体"/>
          <w:b/>
          <w:bCs/>
          <w:spacing w:val="-3"/>
        </w:rPr>
        <w:t>标其中之一或其组合。</w:t>
      </w:r>
    </w:p>
    <w:p w14:paraId="5260EA36">
      <w:pPr>
        <w:pStyle w:val="2"/>
        <w:spacing w:before="31" w:line="373" w:lineRule="auto"/>
        <w:ind w:left="3" w:hanging="3"/>
        <w:rPr>
          <w:rFonts w:ascii="宋体" w:hAnsi="宋体" w:eastAsia="宋体" w:cs="宋体"/>
        </w:rPr>
      </w:pPr>
      <w:r>
        <w:rPr>
          <w:b/>
          <w:bCs/>
          <w:spacing w:val="-4"/>
        </w:rPr>
        <w:t xml:space="preserve">3.2.2 </w:t>
      </w:r>
      <w:r>
        <w:rPr>
          <w:rFonts w:ascii="宋体" w:hAnsi="宋体" w:eastAsia="宋体" w:cs="宋体"/>
          <w:b/>
          <w:bCs/>
          <w:spacing w:val="-4"/>
        </w:rPr>
        <w:t>对无色透明平板玻璃可见光透射比进行检验时，若检验结果符合</w:t>
      </w:r>
      <w:r>
        <w:rPr>
          <w:rFonts w:ascii="宋体" w:hAnsi="宋体" w:eastAsia="宋体" w:cs="宋体"/>
          <w:spacing w:val="-36"/>
        </w:rPr>
        <w:t xml:space="preserve"> </w:t>
      </w:r>
      <w:r>
        <w:rPr>
          <w:b/>
          <w:bCs/>
          <w:spacing w:val="-4"/>
        </w:rPr>
        <w:t>GB</w:t>
      </w:r>
      <w:r>
        <w:rPr>
          <w:b/>
          <w:bCs/>
          <w:spacing w:val="24"/>
        </w:rPr>
        <w:t xml:space="preserve"> </w:t>
      </w:r>
      <w:r>
        <w:rPr>
          <w:b/>
          <w:bCs/>
          <w:spacing w:val="-4"/>
        </w:rPr>
        <w:t>11614—2022</w:t>
      </w:r>
      <w:r>
        <w:rPr>
          <w:b/>
          <w:bCs/>
          <w:spacing w:val="29"/>
        </w:rPr>
        <w:t xml:space="preserve"> </w:t>
      </w:r>
      <w:r>
        <w:rPr>
          <w:rFonts w:ascii="宋体" w:hAnsi="宋体" w:eastAsia="宋体" w:cs="宋体"/>
          <w:b/>
          <w:bCs/>
          <w:spacing w:val="-4"/>
        </w:rPr>
        <w:t>的规定，</w:t>
      </w:r>
      <w:r>
        <w:rPr>
          <w:rFonts w:ascii="宋体" w:hAnsi="宋体" w:eastAsia="宋体" w:cs="宋体"/>
        </w:rPr>
        <w:t xml:space="preserve"> </w:t>
      </w:r>
      <w:r>
        <w:rPr>
          <w:rFonts w:ascii="宋体" w:hAnsi="宋体" w:eastAsia="宋体" w:cs="宋体"/>
          <w:b/>
          <w:bCs/>
          <w:spacing w:val="-3"/>
        </w:rPr>
        <w:t>则判定被抽查产品该项指标合格。</w:t>
      </w:r>
    </w:p>
    <w:p w14:paraId="5C78B4E5">
      <w:pPr>
        <w:pStyle w:val="2"/>
        <w:spacing w:before="30" w:line="375" w:lineRule="auto"/>
        <w:ind w:left="3" w:right="105" w:hanging="3"/>
        <w:rPr>
          <w:rFonts w:ascii="宋体" w:hAnsi="宋体" w:eastAsia="宋体" w:cs="宋体"/>
        </w:rPr>
      </w:pPr>
      <w:r>
        <w:rPr>
          <w:b/>
          <w:bCs/>
          <w:spacing w:val="-2"/>
        </w:rPr>
        <w:t xml:space="preserve">3.2.3 </w:t>
      </w:r>
      <w:r>
        <w:rPr>
          <w:rFonts w:ascii="宋体" w:hAnsi="宋体" w:eastAsia="宋体" w:cs="宋体"/>
          <w:b/>
          <w:bCs/>
          <w:spacing w:val="-2"/>
        </w:rPr>
        <w:t>对本体着色平板玻璃透射比偏差进行检验时，若检验结果符合</w:t>
      </w:r>
      <w:r>
        <w:rPr>
          <w:rFonts w:ascii="宋体" w:hAnsi="宋体" w:eastAsia="宋体" w:cs="宋体"/>
          <w:spacing w:val="-44"/>
        </w:rPr>
        <w:t xml:space="preserve"> </w:t>
      </w:r>
      <w:r>
        <w:rPr>
          <w:b/>
          <w:bCs/>
          <w:spacing w:val="-2"/>
        </w:rPr>
        <w:t>GB  11614—2022</w:t>
      </w:r>
      <w:r>
        <w:rPr>
          <w:b/>
          <w:bCs/>
          <w:spacing w:val="27"/>
          <w:w w:val="101"/>
        </w:rPr>
        <w:t xml:space="preserve"> </w:t>
      </w:r>
      <w:r>
        <w:rPr>
          <w:rFonts w:ascii="宋体" w:hAnsi="宋体" w:eastAsia="宋体" w:cs="宋体"/>
          <w:b/>
          <w:bCs/>
          <w:spacing w:val="-2"/>
        </w:rPr>
        <w:t>的规</w:t>
      </w:r>
      <w:r>
        <w:rPr>
          <w:rFonts w:ascii="宋体" w:hAnsi="宋体" w:eastAsia="宋体" w:cs="宋体"/>
          <w:b/>
          <w:bCs/>
          <w:spacing w:val="-3"/>
        </w:rPr>
        <w:t>定，</w:t>
      </w:r>
      <w:r>
        <w:rPr>
          <w:rFonts w:ascii="宋体" w:hAnsi="宋体" w:eastAsia="宋体" w:cs="宋体"/>
        </w:rPr>
        <w:t xml:space="preserve"> </w:t>
      </w:r>
      <w:r>
        <w:rPr>
          <w:rFonts w:ascii="宋体" w:hAnsi="宋体" w:eastAsia="宋体" w:cs="宋体"/>
          <w:b/>
          <w:bCs/>
          <w:spacing w:val="-3"/>
        </w:rPr>
        <w:t>则判定被抽查产品该项指标合格。</w:t>
      </w:r>
    </w:p>
    <w:p w14:paraId="60778B02">
      <w:pPr>
        <w:pStyle w:val="2"/>
        <w:spacing w:before="27" w:line="373" w:lineRule="auto"/>
        <w:ind w:left="3" w:right="105" w:hanging="3"/>
        <w:rPr>
          <w:rFonts w:ascii="宋体" w:hAnsi="宋体" w:eastAsia="宋体" w:cs="宋体"/>
        </w:rPr>
      </w:pPr>
      <w:r>
        <w:rPr>
          <w:b/>
          <w:bCs/>
          <w:spacing w:val="-2"/>
        </w:rPr>
        <w:t xml:space="preserve">3.2.4 </w:t>
      </w:r>
      <w:r>
        <w:rPr>
          <w:rFonts w:ascii="宋体" w:hAnsi="宋体" w:eastAsia="宋体" w:cs="宋体"/>
          <w:b/>
          <w:bCs/>
          <w:spacing w:val="-2"/>
        </w:rPr>
        <w:t>对本体着色平板玻璃颜色均匀性进行检验时，若检验结果符合</w:t>
      </w:r>
      <w:r>
        <w:rPr>
          <w:rFonts w:ascii="宋体" w:hAnsi="宋体" w:eastAsia="宋体" w:cs="宋体"/>
          <w:spacing w:val="-44"/>
        </w:rPr>
        <w:t xml:space="preserve"> </w:t>
      </w:r>
      <w:r>
        <w:rPr>
          <w:b/>
          <w:bCs/>
          <w:spacing w:val="-2"/>
        </w:rPr>
        <w:t>GB</w:t>
      </w:r>
      <w:r>
        <w:rPr>
          <w:b/>
          <w:bCs/>
          <w:spacing w:val="-3"/>
        </w:rPr>
        <w:t xml:space="preserve">  11614—2022</w:t>
      </w:r>
      <w:r>
        <w:rPr>
          <w:b/>
          <w:bCs/>
          <w:spacing w:val="27"/>
          <w:w w:val="101"/>
        </w:rPr>
        <w:t xml:space="preserve"> </w:t>
      </w:r>
      <w:r>
        <w:rPr>
          <w:rFonts w:ascii="宋体" w:hAnsi="宋体" w:eastAsia="宋体" w:cs="宋体"/>
          <w:b/>
          <w:bCs/>
          <w:spacing w:val="-3"/>
        </w:rPr>
        <w:t>的规定，</w:t>
      </w:r>
      <w:r>
        <w:rPr>
          <w:rFonts w:ascii="宋体" w:hAnsi="宋体" w:eastAsia="宋体" w:cs="宋体"/>
        </w:rPr>
        <w:t xml:space="preserve"> </w:t>
      </w:r>
      <w:r>
        <w:rPr>
          <w:rFonts w:ascii="宋体" w:hAnsi="宋体" w:eastAsia="宋体" w:cs="宋体"/>
          <w:b/>
          <w:bCs/>
          <w:spacing w:val="-3"/>
        </w:rPr>
        <w:t>则判定被抽查产品该项指标合格。</w:t>
      </w:r>
    </w:p>
    <w:p w14:paraId="0173F3B5">
      <w:pPr>
        <w:pStyle w:val="2"/>
        <w:spacing w:before="33" w:line="198" w:lineRule="auto"/>
        <w:outlineLvl w:val="2"/>
        <w:rPr>
          <w:rFonts w:ascii="宋体" w:hAnsi="宋体" w:eastAsia="宋体" w:cs="宋体"/>
        </w:rPr>
      </w:pPr>
      <w:r>
        <w:rPr>
          <w:b/>
          <w:bCs/>
          <w:spacing w:val="-1"/>
        </w:rPr>
        <w:t xml:space="preserve">3.2.5 </w:t>
      </w:r>
      <w:r>
        <w:rPr>
          <w:rFonts w:ascii="宋体" w:hAnsi="宋体" w:eastAsia="宋体" w:cs="宋体"/>
          <w:b/>
          <w:bCs/>
          <w:spacing w:val="-1"/>
        </w:rPr>
        <w:t>综合判定</w:t>
      </w:r>
    </w:p>
    <w:p w14:paraId="6C086FCD">
      <w:pPr>
        <w:spacing w:before="213" w:line="373" w:lineRule="auto"/>
        <w:ind w:left="3" w:right="55" w:firstLine="418"/>
        <w:rPr>
          <w:rFonts w:ascii="宋体" w:hAnsi="宋体" w:eastAsia="宋体" w:cs="宋体"/>
          <w:sz w:val="21"/>
          <w:szCs w:val="21"/>
        </w:rPr>
      </w:pPr>
      <w:r>
        <w:rPr>
          <w:rFonts w:ascii="宋体" w:hAnsi="宋体" w:eastAsia="宋体" w:cs="宋体"/>
          <w:b/>
          <w:bCs/>
          <w:spacing w:val="-2"/>
          <w:sz w:val="21"/>
          <w:szCs w:val="21"/>
        </w:rPr>
        <w:t>经检验，检验项目全部合格，判定为被抽查产品所检项目未发现不合格；检</w:t>
      </w:r>
      <w:r>
        <w:rPr>
          <w:rFonts w:ascii="宋体" w:hAnsi="宋体" w:eastAsia="宋体" w:cs="宋体"/>
          <w:b/>
          <w:bCs/>
          <w:spacing w:val="-3"/>
          <w:sz w:val="21"/>
          <w:szCs w:val="21"/>
        </w:rPr>
        <w:t>验项目中任一</w:t>
      </w:r>
      <w:r>
        <w:rPr>
          <w:rFonts w:ascii="宋体" w:hAnsi="宋体" w:eastAsia="宋体" w:cs="宋体"/>
          <w:sz w:val="21"/>
          <w:szCs w:val="21"/>
        </w:rPr>
        <w:t xml:space="preserve"> </w:t>
      </w:r>
      <w:r>
        <w:rPr>
          <w:rFonts w:ascii="宋体" w:hAnsi="宋体" w:eastAsia="宋体" w:cs="宋体"/>
          <w:b/>
          <w:bCs/>
          <w:spacing w:val="-3"/>
          <w:sz w:val="21"/>
          <w:szCs w:val="21"/>
        </w:rPr>
        <w:t>项或一项以上不合格，判定为被抽查产品不合格。</w:t>
      </w:r>
    </w:p>
    <w:p w14:paraId="4599A03A">
      <w:pPr>
        <w:spacing w:before="33" w:line="373" w:lineRule="auto"/>
        <w:ind w:left="17" w:right="55" w:firstLine="403"/>
        <w:rPr>
          <w:rFonts w:ascii="宋体" w:hAnsi="宋体" w:eastAsia="宋体" w:cs="宋体"/>
          <w:sz w:val="21"/>
          <w:szCs w:val="21"/>
        </w:rPr>
      </w:pPr>
      <w:r>
        <w:rPr>
          <w:rFonts w:ascii="宋体" w:hAnsi="宋体" w:eastAsia="宋体" w:cs="宋体"/>
          <w:b/>
          <w:bCs/>
          <w:spacing w:val="-2"/>
          <w:sz w:val="21"/>
          <w:szCs w:val="21"/>
        </w:rPr>
        <w:t>若被检产品明示的质量要求高于本细则中检验项目依据的标准要求时，应按被</w:t>
      </w:r>
      <w:r>
        <w:rPr>
          <w:rFonts w:ascii="宋体" w:hAnsi="宋体" w:eastAsia="宋体" w:cs="宋体"/>
          <w:b/>
          <w:bCs/>
          <w:spacing w:val="-3"/>
          <w:sz w:val="21"/>
          <w:szCs w:val="21"/>
        </w:rPr>
        <w:t>检产品明示</w:t>
      </w:r>
      <w:r>
        <w:rPr>
          <w:rFonts w:ascii="宋体" w:hAnsi="宋体" w:eastAsia="宋体" w:cs="宋体"/>
          <w:sz w:val="21"/>
          <w:szCs w:val="21"/>
        </w:rPr>
        <w:t xml:space="preserve"> </w:t>
      </w:r>
      <w:r>
        <w:rPr>
          <w:rFonts w:ascii="宋体" w:hAnsi="宋体" w:eastAsia="宋体" w:cs="宋体"/>
          <w:b/>
          <w:bCs/>
          <w:spacing w:val="-5"/>
          <w:sz w:val="21"/>
          <w:szCs w:val="21"/>
        </w:rPr>
        <w:t>的质量要求判定。</w:t>
      </w:r>
    </w:p>
    <w:p w14:paraId="2573AC85">
      <w:pPr>
        <w:spacing w:before="30" w:line="375" w:lineRule="auto"/>
        <w:ind w:left="2" w:right="55" w:firstLine="418"/>
        <w:rPr>
          <w:rFonts w:ascii="宋体" w:hAnsi="宋体" w:eastAsia="宋体" w:cs="宋体"/>
          <w:sz w:val="21"/>
          <w:szCs w:val="21"/>
        </w:rPr>
      </w:pPr>
      <w:r>
        <w:rPr>
          <w:rFonts w:ascii="宋体" w:hAnsi="宋体" w:eastAsia="宋体" w:cs="宋体"/>
          <w:b/>
          <w:bCs/>
          <w:spacing w:val="-2"/>
          <w:sz w:val="21"/>
          <w:szCs w:val="21"/>
        </w:rPr>
        <w:t>若被检产品明示的质量要求低于本细则中检验项目依据的强制性标准要求时，</w:t>
      </w:r>
      <w:r>
        <w:rPr>
          <w:rFonts w:ascii="宋体" w:hAnsi="宋体" w:eastAsia="宋体" w:cs="宋体"/>
          <w:b/>
          <w:bCs/>
          <w:spacing w:val="-3"/>
          <w:sz w:val="21"/>
          <w:szCs w:val="21"/>
        </w:rPr>
        <w:t>应按照强制</w:t>
      </w:r>
      <w:r>
        <w:rPr>
          <w:rFonts w:ascii="宋体" w:hAnsi="宋体" w:eastAsia="宋体" w:cs="宋体"/>
          <w:sz w:val="21"/>
          <w:szCs w:val="21"/>
        </w:rPr>
        <w:t xml:space="preserve"> </w:t>
      </w:r>
      <w:r>
        <w:rPr>
          <w:rFonts w:ascii="宋体" w:hAnsi="宋体" w:eastAsia="宋体" w:cs="宋体"/>
          <w:b/>
          <w:bCs/>
          <w:spacing w:val="-4"/>
          <w:sz w:val="21"/>
          <w:szCs w:val="21"/>
        </w:rPr>
        <w:t>性标准要求判定。</w:t>
      </w:r>
    </w:p>
    <w:p w14:paraId="761EB365">
      <w:pPr>
        <w:spacing w:before="27" w:line="373" w:lineRule="auto"/>
        <w:ind w:right="55" w:firstLine="420"/>
        <w:rPr>
          <w:rFonts w:ascii="宋体" w:hAnsi="宋体" w:eastAsia="宋体" w:cs="宋体"/>
          <w:sz w:val="21"/>
          <w:szCs w:val="21"/>
        </w:rPr>
      </w:pPr>
      <w:r>
        <w:rPr>
          <w:rFonts w:ascii="宋体" w:hAnsi="宋体" w:eastAsia="宋体" w:cs="宋体"/>
          <w:b/>
          <w:bCs/>
          <w:spacing w:val="-2"/>
          <w:sz w:val="21"/>
          <w:szCs w:val="21"/>
        </w:rPr>
        <w:t>若被检产品明示的质量要求低于或包含本细则中检验项目依据的推荐性标准要</w:t>
      </w:r>
      <w:r>
        <w:rPr>
          <w:rFonts w:ascii="宋体" w:hAnsi="宋体" w:eastAsia="宋体" w:cs="宋体"/>
          <w:b/>
          <w:bCs/>
          <w:spacing w:val="-3"/>
          <w:sz w:val="21"/>
          <w:szCs w:val="21"/>
        </w:rPr>
        <w:t>求时，应以</w:t>
      </w:r>
      <w:r>
        <w:rPr>
          <w:rFonts w:ascii="宋体" w:hAnsi="宋体" w:eastAsia="宋体" w:cs="宋体"/>
          <w:sz w:val="21"/>
          <w:szCs w:val="21"/>
        </w:rPr>
        <w:t xml:space="preserve"> </w:t>
      </w:r>
      <w:r>
        <w:rPr>
          <w:rFonts w:ascii="宋体" w:hAnsi="宋体" w:eastAsia="宋体" w:cs="宋体"/>
          <w:b/>
          <w:bCs/>
          <w:spacing w:val="-3"/>
          <w:sz w:val="21"/>
          <w:szCs w:val="21"/>
        </w:rPr>
        <w:t>被检产品明示的质量要求判定。</w:t>
      </w:r>
    </w:p>
    <w:p w14:paraId="693EFAF6">
      <w:pPr>
        <w:spacing w:before="33" w:line="373" w:lineRule="auto"/>
        <w:ind w:left="2" w:right="55" w:firstLine="418"/>
        <w:rPr>
          <w:rFonts w:ascii="宋体" w:hAnsi="宋体" w:eastAsia="宋体" w:cs="宋体"/>
          <w:sz w:val="21"/>
          <w:szCs w:val="21"/>
        </w:rPr>
      </w:pPr>
      <w:r>
        <w:rPr>
          <w:rFonts w:ascii="宋体" w:hAnsi="宋体" w:eastAsia="宋体" w:cs="宋体"/>
          <w:b/>
          <w:bCs/>
          <w:spacing w:val="-2"/>
          <w:sz w:val="21"/>
          <w:szCs w:val="21"/>
        </w:rPr>
        <w:t>若被检产品明示的质量要求缺少本细则中检验项目依据的强制性标准要求时，</w:t>
      </w:r>
      <w:r>
        <w:rPr>
          <w:rFonts w:ascii="宋体" w:hAnsi="宋体" w:eastAsia="宋体" w:cs="宋体"/>
          <w:b/>
          <w:bCs/>
          <w:spacing w:val="-3"/>
          <w:sz w:val="21"/>
          <w:szCs w:val="21"/>
        </w:rPr>
        <w:t>应按照强制</w:t>
      </w:r>
      <w:r>
        <w:rPr>
          <w:rFonts w:ascii="宋体" w:hAnsi="宋体" w:eastAsia="宋体" w:cs="宋体"/>
          <w:sz w:val="21"/>
          <w:szCs w:val="21"/>
        </w:rPr>
        <w:t xml:space="preserve"> </w:t>
      </w:r>
      <w:r>
        <w:rPr>
          <w:rFonts w:ascii="宋体" w:hAnsi="宋体" w:eastAsia="宋体" w:cs="宋体"/>
          <w:b/>
          <w:bCs/>
          <w:spacing w:val="-4"/>
          <w:sz w:val="21"/>
          <w:szCs w:val="21"/>
        </w:rPr>
        <w:t>性标准要求判定。</w:t>
      </w:r>
    </w:p>
    <w:p w14:paraId="4D3A7F3D">
      <w:pPr>
        <w:spacing w:before="30" w:line="374" w:lineRule="auto"/>
        <w:ind w:left="4" w:right="55" w:firstLine="416"/>
        <w:rPr>
          <w:rFonts w:ascii="宋体" w:hAnsi="宋体" w:eastAsia="宋体" w:cs="宋体"/>
          <w:sz w:val="21"/>
          <w:szCs w:val="21"/>
        </w:rPr>
      </w:pPr>
      <w:r>
        <w:rPr>
          <w:rFonts w:ascii="宋体" w:hAnsi="宋体" w:eastAsia="宋体" w:cs="宋体"/>
          <w:b/>
          <w:bCs/>
          <w:spacing w:val="-2"/>
          <w:sz w:val="21"/>
          <w:szCs w:val="21"/>
        </w:rPr>
        <w:t>若被检产品明示的质量要求缺少本细则中检验项目依据的推荐性标准要求时，</w:t>
      </w:r>
      <w:r>
        <w:rPr>
          <w:rFonts w:ascii="宋体" w:hAnsi="宋体" w:eastAsia="宋体" w:cs="宋体"/>
          <w:b/>
          <w:bCs/>
          <w:spacing w:val="-3"/>
          <w:sz w:val="21"/>
          <w:szCs w:val="21"/>
        </w:rPr>
        <w:t>该项目不参</w:t>
      </w:r>
      <w:r>
        <w:rPr>
          <w:rFonts w:ascii="宋体" w:hAnsi="宋体" w:eastAsia="宋体" w:cs="宋体"/>
          <w:sz w:val="21"/>
          <w:szCs w:val="21"/>
        </w:rPr>
        <w:t xml:space="preserve"> </w:t>
      </w:r>
      <w:r>
        <w:rPr>
          <w:rFonts w:ascii="宋体" w:hAnsi="宋体" w:eastAsia="宋体" w:cs="宋体"/>
          <w:b/>
          <w:bCs/>
          <w:spacing w:val="-3"/>
          <w:sz w:val="21"/>
          <w:szCs w:val="21"/>
        </w:rPr>
        <w:t>与判定，但应在检验报告备注中进行说明。</w:t>
      </w:r>
    </w:p>
    <w:sectPr>
      <w:footerReference r:id="rId6" w:type="default"/>
      <w:pgSz w:w="11907" w:h="16839"/>
      <w:pgMar w:top="1431" w:right="1583" w:bottom="1160" w:left="1652"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tantia">
    <w:panose1 w:val="02030602050306030303"/>
    <w:charset w:val="00"/>
    <w:family w:val="auto"/>
    <w:pitch w:val="default"/>
    <w:sig w:usb0="A00002EF" w:usb1="400020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59562">
    <w:pPr>
      <w:pStyle w:val="2"/>
      <w:spacing w:line="176" w:lineRule="auto"/>
      <w:ind w:left="4279"/>
      <w:rPr>
        <w:sz w:val="18"/>
        <w:szCs w:val="18"/>
      </w:rPr>
    </w:pPr>
    <w:r>
      <w:rPr>
        <w:b/>
        <w:bCs/>
        <w:spacing w:val="3"/>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BB209">
    <w:pPr>
      <w:pStyle w:val="2"/>
      <w:spacing w:line="176" w:lineRule="auto"/>
      <w:ind w:left="4257"/>
      <w:rPr>
        <w:sz w:val="18"/>
        <w:szCs w:val="18"/>
      </w:rPr>
    </w:pPr>
    <w:r>
      <w:rPr>
        <w:b/>
        <w:bCs/>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33F61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Constantia" w:hAnsi="Constantia" w:eastAsia="Constantia" w:cs="Constantia"/>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1055</Words>
  <Characters>1204</Characters>
  <TotalTime>0</TotalTime>
  <ScaleCrop>false</ScaleCrop>
  <LinksUpToDate>false</LinksUpToDate>
  <CharactersWithSpaces>1285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2025-03-07T15:01:00Z</dcterms:created>
  <dc:creator>Administrator</dc:creator>
  <cp:lastModifiedBy>WPS_1645145261</cp:lastModifiedBy>
  <dcterms:modified xsi:type="dcterms:W3CDTF">2025-05-01T08:20:12Z</dcterms:modified>
  <dc:title>Microsoft Word - V_x0017__x0001_s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2025-05-01T16:20:05Z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67286F8FADC242D9907B80E7F2769556_12</vt:lpwstr>
  </property>
</Properties>
</file>