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526E0">
      <w:pPr>
        <w:spacing w:before="80" w:line="181" w:lineRule="auto"/>
        <w:ind w:left="1130"/>
        <w:rPr>
          <w:rFonts w:ascii="微软雅黑" w:hAnsi="微软雅黑" w:eastAsia="微软雅黑" w:cs="微软雅黑"/>
          <w:sz w:val="31"/>
          <w:szCs w:val="31"/>
        </w:rPr>
      </w:pPr>
      <w:r>
        <w:rPr>
          <w:rFonts w:hint="eastAsia" w:ascii="微软雅黑" w:hAnsi="微软雅黑" w:eastAsia="微软雅黑" w:cs="微软雅黑"/>
          <w:spacing w:val="9"/>
          <w:sz w:val="31"/>
          <w:szCs w:val="31"/>
          <w:lang w:val="en-US" w:eastAsia="zh-CN"/>
        </w:rPr>
        <w:t>通城县</w:t>
      </w:r>
      <w:bookmarkStart w:id="0" w:name="_GoBack"/>
      <w:bookmarkEnd w:id="0"/>
      <w:r>
        <w:rPr>
          <w:rFonts w:ascii="微软雅黑" w:hAnsi="微软雅黑" w:eastAsia="微软雅黑" w:cs="微软雅黑"/>
          <w:spacing w:val="9"/>
          <w:sz w:val="31"/>
          <w:szCs w:val="31"/>
        </w:rPr>
        <w:t>摩托车、电动自行车乘员头盔产品质量监督抽查实施细则</w:t>
      </w:r>
    </w:p>
    <w:p w14:paraId="238DCF1D">
      <w:pPr>
        <w:spacing w:before="159" w:line="193" w:lineRule="auto"/>
        <w:ind w:left="4078"/>
        <w:rPr>
          <w:rFonts w:ascii="微软雅黑" w:hAnsi="微软雅黑" w:eastAsia="微软雅黑" w:cs="微软雅黑"/>
          <w:sz w:val="31"/>
          <w:szCs w:val="31"/>
        </w:rPr>
      </w:pPr>
      <w:r>
        <w:rPr>
          <w:rFonts w:ascii="微软雅黑" w:hAnsi="微软雅黑" w:eastAsia="微软雅黑" w:cs="微软雅黑"/>
          <w:spacing w:val="11"/>
          <w:sz w:val="31"/>
          <w:szCs w:val="31"/>
        </w:rPr>
        <w:t>（2025年版）</w:t>
      </w:r>
    </w:p>
    <w:p w14:paraId="681994B6">
      <w:pPr>
        <w:spacing w:before="25" w:line="222" w:lineRule="auto"/>
        <w:ind w:left="361"/>
        <w:rPr>
          <w:rFonts w:ascii="黑体" w:hAnsi="黑体" w:eastAsia="黑体" w:cs="黑体"/>
          <w:sz w:val="21"/>
          <w:szCs w:val="21"/>
        </w:rPr>
      </w:pPr>
      <w:r>
        <w:rPr>
          <w:rFonts w:ascii="黑体" w:hAnsi="黑体" w:eastAsia="黑体" w:cs="黑体"/>
          <w:spacing w:val="-12"/>
          <w:sz w:val="21"/>
          <w:szCs w:val="21"/>
        </w:rPr>
        <w:t>1 抽样方法</w:t>
      </w:r>
    </w:p>
    <w:p w14:paraId="2BDDF70D">
      <w:pPr>
        <w:spacing w:line="268" w:lineRule="auto"/>
        <w:rPr>
          <w:rFonts w:ascii="Arial"/>
          <w:sz w:val="21"/>
        </w:rPr>
      </w:pPr>
    </w:p>
    <w:p w14:paraId="7F7B4E1E">
      <w:pPr>
        <w:pStyle w:val="2"/>
        <w:spacing w:before="68" w:line="315" w:lineRule="auto"/>
        <w:ind w:left="552" w:right="4039" w:firstLine="12"/>
      </w:pPr>
      <w:r>
        <w:rPr>
          <w:spacing w:val="-2"/>
        </w:rPr>
        <w:t>以随机抽样的方式在被抽样生产者、销售者的待销</w:t>
      </w:r>
      <w:r>
        <w:rPr>
          <w:spacing w:val="-3"/>
        </w:rPr>
        <w:t>产品中取。</w:t>
      </w:r>
      <w:r>
        <w:t xml:space="preserve"> </w:t>
      </w:r>
      <w:r>
        <w:rPr>
          <w:spacing w:val="-2"/>
        </w:rPr>
        <w:t>随机数一般可使用随机数表等方法产生。</w:t>
      </w:r>
    </w:p>
    <w:p w14:paraId="2A1D00EF">
      <w:pPr>
        <w:pStyle w:val="2"/>
        <w:spacing w:before="19" w:line="303" w:lineRule="auto"/>
        <w:ind w:left="121" w:right="229" w:firstLine="440"/>
      </w:pPr>
      <w:r>
        <w:t>同一生产者按照同一标准生产的同一商标、同</w:t>
      </w:r>
      <w:r>
        <w:rPr>
          <w:spacing w:val="-1"/>
        </w:rPr>
        <w:t>一规格型号的产品：每批次抽取样品4顶，其中检验样品3</w:t>
      </w:r>
      <w:r>
        <w:t xml:space="preserve"> </w:t>
      </w:r>
      <w:r>
        <w:rPr>
          <w:spacing w:val="-3"/>
        </w:rPr>
        <w:t>顶，备用样品1顶。</w:t>
      </w:r>
    </w:p>
    <w:p w14:paraId="79A99A58">
      <w:pPr>
        <w:spacing w:before="283" w:line="223" w:lineRule="auto"/>
        <w:ind w:left="349"/>
        <w:rPr>
          <w:rFonts w:ascii="黑体" w:hAnsi="黑体" w:eastAsia="黑体" w:cs="黑体"/>
          <w:sz w:val="21"/>
          <w:szCs w:val="21"/>
        </w:rPr>
      </w:pPr>
      <w:r>
        <w:rPr>
          <w:rFonts w:ascii="黑体" w:hAnsi="黑体" w:eastAsia="黑体" w:cs="黑体"/>
          <w:spacing w:val="-9"/>
          <w:sz w:val="21"/>
          <w:szCs w:val="21"/>
        </w:rPr>
        <w:t>2</w:t>
      </w:r>
      <w:r>
        <w:rPr>
          <w:rFonts w:ascii="黑体" w:hAnsi="黑体" w:eastAsia="黑体" w:cs="黑体"/>
          <w:spacing w:val="-12"/>
          <w:sz w:val="21"/>
          <w:szCs w:val="21"/>
        </w:rPr>
        <w:t xml:space="preserve"> </w:t>
      </w:r>
      <w:r>
        <w:rPr>
          <w:rFonts w:ascii="黑体" w:hAnsi="黑体" w:eastAsia="黑体" w:cs="黑体"/>
          <w:spacing w:val="-9"/>
          <w:sz w:val="21"/>
          <w:szCs w:val="21"/>
        </w:rPr>
        <w:t>检验依据</w:t>
      </w:r>
    </w:p>
    <w:p w14:paraId="42EFA437">
      <w:pPr>
        <w:pStyle w:val="2"/>
        <w:spacing w:before="94" w:line="221" w:lineRule="auto"/>
        <w:ind w:left="3261"/>
      </w:pPr>
      <w:r>
        <w:t>表</w:t>
      </w:r>
      <w:r>
        <w:rPr>
          <w:rFonts w:ascii="Times New Roman" w:hAnsi="Times New Roman" w:eastAsia="Times New Roman" w:cs="Times New Roman"/>
        </w:rPr>
        <w:t xml:space="preserve">1  GB 811-2022 </w:t>
      </w:r>
      <w:r>
        <w:t>摩托车、电动自</w:t>
      </w:r>
      <w:r>
        <w:rPr>
          <w:spacing w:val="-1"/>
        </w:rPr>
        <w:t>行车乘员头盔</w:t>
      </w:r>
    </w:p>
    <w:p w14:paraId="2D18BD87">
      <w:pPr>
        <w:spacing w:line="30" w:lineRule="auto"/>
        <w:rPr>
          <w:rFonts w:ascii="Arial"/>
          <w:sz w:val="2"/>
        </w:rPr>
      </w:pPr>
    </w:p>
    <w:tbl>
      <w:tblPr>
        <w:tblStyle w:val="5"/>
        <w:tblW w:w="10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6"/>
        <w:gridCol w:w="1273"/>
        <w:gridCol w:w="5275"/>
        <w:gridCol w:w="2557"/>
      </w:tblGrid>
      <w:tr w14:paraId="70F18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06" w:type="dxa"/>
            <w:vAlign w:val="top"/>
          </w:tcPr>
          <w:p w14:paraId="2DF49478">
            <w:pPr>
              <w:pStyle w:val="6"/>
              <w:spacing w:before="111" w:line="215" w:lineRule="auto"/>
              <w:ind w:left="348"/>
            </w:pPr>
            <w:r>
              <w:rPr>
                <w:spacing w:val="-2"/>
              </w:rPr>
              <w:t>序号</w:t>
            </w:r>
          </w:p>
        </w:tc>
        <w:tc>
          <w:tcPr>
            <w:tcW w:w="6548" w:type="dxa"/>
            <w:gridSpan w:val="2"/>
            <w:vAlign w:val="top"/>
          </w:tcPr>
          <w:p w14:paraId="2C22741F">
            <w:pPr>
              <w:pStyle w:val="6"/>
              <w:spacing w:before="111" w:line="215" w:lineRule="auto"/>
              <w:ind w:left="2859"/>
            </w:pPr>
            <w:r>
              <w:rPr>
                <w:spacing w:val="-2"/>
              </w:rPr>
              <w:t>检验项目</w:t>
            </w:r>
          </w:p>
        </w:tc>
        <w:tc>
          <w:tcPr>
            <w:tcW w:w="2557" w:type="dxa"/>
            <w:vAlign w:val="top"/>
          </w:tcPr>
          <w:p w14:paraId="2E2EFA7D">
            <w:pPr>
              <w:pStyle w:val="6"/>
              <w:spacing w:before="111" w:line="215" w:lineRule="auto"/>
              <w:ind w:left="862"/>
            </w:pPr>
            <w:r>
              <w:rPr>
                <w:spacing w:val="-2"/>
              </w:rPr>
              <w:t>检验方法</w:t>
            </w:r>
          </w:p>
        </w:tc>
      </w:tr>
      <w:tr w14:paraId="5D04B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106" w:type="dxa"/>
            <w:vAlign w:val="top"/>
          </w:tcPr>
          <w:p w14:paraId="37E683C3">
            <w:pPr>
              <w:pStyle w:val="6"/>
              <w:spacing w:before="141" w:line="183" w:lineRule="auto"/>
              <w:ind w:left="520"/>
            </w:pPr>
            <w:r>
              <w:t>1</w:t>
            </w:r>
          </w:p>
        </w:tc>
        <w:tc>
          <w:tcPr>
            <w:tcW w:w="1273" w:type="dxa"/>
            <w:vAlign w:val="top"/>
          </w:tcPr>
          <w:p w14:paraId="784BEB5F">
            <w:pPr>
              <w:pStyle w:val="6"/>
              <w:spacing w:before="107" w:line="217" w:lineRule="auto"/>
              <w:ind w:left="435"/>
            </w:pPr>
            <w:r>
              <w:rPr>
                <w:spacing w:val="-3"/>
              </w:rPr>
              <w:t>结构</w:t>
            </w:r>
          </w:p>
        </w:tc>
        <w:tc>
          <w:tcPr>
            <w:tcW w:w="5275" w:type="dxa"/>
            <w:vAlign w:val="top"/>
          </w:tcPr>
          <w:p w14:paraId="57F18F00">
            <w:pPr>
              <w:pStyle w:val="6"/>
              <w:spacing w:before="107" w:line="217" w:lineRule="auto"/>
              <w:ind w:left="2221"/>
            </w:pPr>
            <w:r>
              <w:rPr>
                <w:spacing w:val="-1"/>
              </w:rPr>
              <w:t>佩戴装置</w:t>
            </w:r>
          </w:p>
        </w:tc>
        <w:tc>
          <w:tcPr>
            <w:tcW w:w="2557" w:type="dxa"/>
            <w:vAlign w:val="top"/>
          </w:tcPr>
          <w:p w14:paraId="6DCB549F">
            <w:pPr>
              <w:pStyle w:val="6"/>
              <w:spacing w:before="107" w:line="217" w:lineRule="auto"/>
              <w:ind w:left="230"/>
            </w:pPr>
            <w:r>
              <w:rPr>
                <w:spacing w:val="-1"/>
              </w:rPr>
              <w:t>GB 811—2022</w:t>
            </w:r>
            <w:r>
              <w:rPr>
                <w:spacing w:val="11"/>
              </w:rPr>
              <w:t xml:space="preserve"> </w:t>
            </w:r>
            <w:r>
              <w:rPr>
                <w:spacing w:val="-1"/>
              </w:rPr>
              <w:t>条款6.2</w:t>
            </w:r>
          </w:p>
        </w:tc>
      </w:tr>
      <w:tr w14:paraId="61CB8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106" w:type="dxa"/>
            <w:vAlign w:val="top"/>
          </w:tcPr>
          <w:p w14:paraId="2E3E5521">
            <w:pPr>
              <w:pStyle w:val="6"/>
              <w:spacing w:before="143" w:line="182" w:lineRule="auto"/>
              <w:ind w:left="507"/>
            </w:pPr>
            <w:r>
              <w:t>2</w:t>
            </w:r>
          </w:p>
        </w:tc>
        <w:tc>
          <w:tcPr>
            <w:tcW w:w="1273" w:type="dxa"/>
            <w:vMerge w:val="restart"/>
            <w:tcBorders>
              <w:bottom w:val="nil"/>
            </w:tcBorders>
            <w:vAlign w:val="top"/>
          </w:tcPr>
          <w:p w14:paraId="348D5DF0">
            <w:pPr>
              <w:spacing w:line="317" w:lineRule="auto"/>
              <w:rPr>
                <w:rFonts w:ascii="Arial"/>
                <w:sz w:val="21"/>
              </w:rPr>
            </w:pPr>
          </w:p>
          <w:p w14:paraId="7A3E4E80">
            <w:pPr>
              <w:spacing w:line="318" w:lineRule="auto"/>
              <w:rPr>
                <w:rFonts w:ascii="Arial"/>
                <w:sz w:val="21"/>
              </w:rPr>
            </w:pPr>
          </w:p>
          <w:p w14:paraId="67F7CF87">
            <w:pPr>
              <w:spacing w:line="318" w:lineRule="auto"/>
              <w:rPr>
                <w:rFonts w:ascii="Arial"/>
                <w:sz w:val="21"/>
              </w:rPr>
            </w:pPr>
          </w:p>
          <w:p w14:paraId="4DB3E217">
            <w:pPr>
              <w:pStyle w:val="6"/>
              <w:spacing w:before="68" w:line="222" w:lineRule="auto"/>
              <w:ind w:left="433"/>
            </w:pPr>
            <w:r>
              <w:rPr>
                <w:spacing w:val="-3"/>
              </w:rPr>
              <w:t>性能</w:t>
            </w:r>
          </w:p>
        </w:tc>
        <w:tc>
          <w:tcPr>
            <w:tcW w:w="5275" w:type="dxa"/>
            <w:vAlign w:val="top"/>
          </w:tcPr>
          <w:p w14:paraId="4FA86462">
            <w:pPr>
              <w:pStyle w:val="6"/>
              <w:spacing w:before="107" w:line="215" w:lineRule="auto"/>
              <w:ind w:left="2433"/>
            </w:pPr>
            <w:r>
              <w:rPr>
                <w:spacing w:val="-2"/>
              </w:rPr>
              <w:t>视野</w:t>
            </w:r>
          </w:p>
        </w:tc>
        <w:tc>
          <w:tcPr>
            <w:tcW w:w="2557" w:type="dxa"/>
            <w:vAlign w:val="top"/>
          </w:tcPr>
          <w:p w14:paraId="36F0764C">
            <w:pPr>
              <w:pStyle w:val="6"/>
              <w:spacing w:before="107" w:line="215" w:lineRule="auto"/>
              <w:ind w:left="230"/>
            </w:pPr>
            <w:r>
              <w:rPr>
                <w:spacing w:val="-1"/>
              </w:rPr>
              <w:t>GB 811—2022</w:t>
            </w:r>
            <w:r>
              <w:rPr>
                <w:spacing w:val="11"/>
              </w:rPr>
              <w:t xml:space="preserve"> </w:t>
            </w:r>
            <w:r>
              <w:rPr>
                <w:spacing w:val="-1"/>
              </w:rPr>
              <w:t>条款6.4</w:t>
            </w:r>
          </w:p>
        </w:tc>
      </w:tr>
      <w:tr w14:paraId="2CAD6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106" w:type="dxa"/>
            <w:vAlign w:val="top"/>
          </w:tcPr>
          <w:p w14:paraId="17FA7F74">
            <w:pPr>
              <w:pStyle w:val="6"/>
              <w:spacing w:before="143" w:line="182" w:lineRule="auto"/>
              <w:ind w:left="509"/>
            </w:pPr>
            <w:r>
              <w:t>3</w:t>
            </w:r>
          </w:p>
        </w:tc>
        <w:tc>
          <w:tcPr>
            <w:tcW w:w="1273" w:type="dxa"/>
            <w:vMerge w:val="continue"/>
            <w:tcBorders>
              <w:top w:val="nil"/>
              <w:bottom w:val="nil"/>
            </w:tcBorders>
            <w:vAlign w:val="top"/>
          </w:tcPr>
          <w:p w14:paraId="245B4F3E">
            <w:pPr>
              <w:rPr>
                <w:rFonts w:ascii="Arial"/>
                <w:sz w:val="21"/>
              </w:rPr>
            </w:pPr>
          </w:p>
        </w:tc>
        <w:tc>
          <w:tcPr>
            <w:tcW w:w="5275" w:type="dxa"/>
            <w:vAlign w:val="top"/>
          </w:tcPr>
          <w:p w14:paraId="17DC28B5">
            <w:pPr>
              <w:pStyle w:val="6"/>
              <w:spacing w:before="108" w:line="213" w:lineRule="auto"/>
              <w:ind w:left="543"/>
            </w:pPr>
            <w:r>
              <w:rPr>
                <w:spacing w:val="-1"/>
              </w:rPr>
              <w:t>护目镜（冲击强度、可见光透过率、耐磨性）</w:t>
            </w:r>
          </w:p>
        </w:tc>
        <w:tc>
          <w:tcPr>
            <w:tcW w:w="2557" w:type="dxa"/>
            <w:vAlign w:val="top"/>
          </w:tcPr>
          <w:p w14:paraId="34A5FFCC">
            <w:pPr>
              <w:pStyle w:val="6"/>
              <w:spacing w:before="108" w:line="213" w:lineRule="auto"/>
              <w:ind w:left="230"/>
            </w:pPr>
            <w:r>
              <w:rPr>
                <w:spacing w:val="-1"/>
              </w:rPr>
              <w:t>GB 811—2022</w:t>
            </w:r>
            <w:r>
              <w:rPr>
                <w:spacing w:val="11"/>
              </w:rPr>
              <w:t xml:space="preserve"> </w:t>
            </w:r>
            <w:r>
              <w:rPr>
                <w:spacing w:val="-1"/>
              </w:rPr>
              <w:t>条款6.5</w:t>
            </w:r>
          </w:p>
        </w:tc>
      </w:tr>
      <w:tr w14:paraId="2D80D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106" w:type="dxa"/>
            <w:vAlign w:val="top"/>
          </w:tcPr>
          <w:p w14:paraId="055A16AD">
            <w:pPr>
              <w:pStyle w:val="6"/>
              <w:spacing w:before="146" w:line="182" w:lineRule="auto"/>
              <w:ind w:left="503"/>
            </w:pPr>
            <w:r>
              <w:t>4</w:t>
            </w:r>
          </w:p>
        </w:tc>
        <w:tc>
          <w:tcPr>
            <w:tcW w:w="1273" w:type="dxa"/>
            <w:vMerge w:val="continue"/>
            <w:tcBorders>
              <w:top w:val="nil"/>
              <w:bottom w:val="nil"/>
            </w:tcBorders>
            <w:vAlign w:val="top"/>
          </w:tcPr>
          <w:p w14:paraId="1120A9D1">
            <w:pPr>
              <w:rPr>
                <w:rFonts w:ascii="Arial"/>
                <w:sz w:val="21"/>
              </w:rPr>
            </w:pPr>
          </w:p>
        </w:tc>
        <w:tc>
          <w:tcPr>
            <w:tcW w:w="5275" w:type="dxa"/>
            <w:vAlign w:val="top"/>
          </w:tcPr>
          <w:p w14:paraId="2BE585BE">
            <w:pPr>
              <w:pStyle w:val="6"/>
              <w:spacing w:before="111" w:line="213" w:lineRule="auto"/>
              <w:ind w:left="1926"/>
            </w:pPr>
            <w:r>
              <w:rPr>
                <w:spacing w:val="-4"/>
              </w:rPr>
              <w:t>固定装置稳定性</w:t>
            </w:r>
          </w:p>
        </w:tc>
        <w:tc>
          <w:tcPr>
            <w:tcW w:w="2557" w:type="dxa"/>
            <w:vAlign w:val="top"/>
          </w:tcPr>
          <w:p w14:paraId="57269AB9">
            <w:pPr>
              <w:pStyle w:val="6"/>
              <w:spacing w:before="111" w:line="213" w:lineRule="auto"/>
              <w:ind w:left="230"/>
            </w:pPr>
            <w:r>
              <w:rPr>
                <w:spacing w:val="-1"/>
              </w:rPr>
              <w:t>GB 811—2022</w:t>
            </w:r>
            <w:r>
              <w:rPr>
                <w:spacing w:val="11"/>
              </w:rPr>
              <w:t xml:space="preserve"> </w:t>
            </w:r>
            <w:r>
              <w:rPr>
                <w:spacing w:val="-1"/>
              </w:rPr>
              <w:t>条款6.9</w:t>
            </w:r>
          </w:p>
        </w:tc>
      </w:tr>
      <w:tr w14:paraId="1228F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106" w:type="dxa"/>
            <w:vAlign w:val="top"/>
          </w:tcPr>
          <w:p w14:paraId="5759AF15">
            <w:pPr>
              <w:pStyle w:val="6"/>
              <w:spacing w:before="147" w:line="179" w:lineRule="auto"/>
              <w:ind w:left="509"/>
            </w:pPr>
            <w:r>
              <w:t>5</w:t>
            </w:r>
          </w:p>
        </w:tc>
        <w:tc>
          <w:tcPr>
            <w:tcW w:w="1273" w:type="dxa"/>
            <w:vMerge w:val="continue"/>
            <w:tcBorders>
              <w:top w:val="nil"/>
              <w:bottom w:val="nil"/>
            </w:tcBorders>
            <w:vAlign w:val="top"/>
          </w:tcPr>
          <w:p w14:paraId="74E34A2D">
            <w:pPr>
              <w:rPr>
                <w:rFonts w:ascii="Arial"/>
                <w:sz w:val="21"/>
              </w:rPr>
            </w:pPr>
          </w:p>
        </w:tc>
        <w:tc>
          <w:tcPr>
            <w:tcW w:w="5275" w:type="dxa"/>
            <w:vAlign w:val="top"/>
          </w:tcPr>
          <w:p w14:paraId="2646DB24">
            <w:pPr>
              <w:pStyle w:val="6"/>
              <w:spacing w:before="109" w:line="212" w:lineRule="auto"/>
              <w:ind w:left="2012"/>
            </w:pPr>
            <w:r>
              <w:rPr>
                <w:spacing w:val="-1"/>
              </w:rPr>
              <w:t>佩戴装置强度</w:t>
            </w:r>
          </w:p>
        </w:tc>
        <w:tc>
          <w:tcPr>
            <w:tcW w:w="2557" w:type="dxa"/>
            <w:vAlign w:val="top"/>
          </w:tcPr>
          <w:p w14:paraId="295A0FBD">
            <w:pPr>
              <w:pStyle w:val="6"/>
              <w:spacing w:before="109" w:line="212" w:lineRule="auto"/>
              <w:ind w:left="177"/>
            </w:pPr>
            <w:r>
              <w:rPr>
                <w:spacing w:val="-1"/>
              </w:rPr>
              <w:t>GB 811—2022</w:t>
            </w:r>
            <w:r>
              <w:rPr>
                <w:spacing w:val="13"/>
              </w:rPr>
              <w:t xml:space="preserve"> </w:t>
            </w:r>
            <w:r>
              <w:rPr>
                <w:spacing w:val="-1"/>
              </w:rPr>
              <w:t>条款6.10</w:t>
            </w:r>
          </w:p>
        </w:tc>
      </w:tr>
      <w:tr w14:paraId="01000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106" w:type="dxa"/>
            <w:vAlign w:val="top"/>
          </w:tcPr>
          <w:p w14:paraId="6346F902">
            <w:pPr>
              <w:pStyle w:val="6"/>
              <w:spacing w:before="149" w:line="180" w:lineRule="auto"/>
              <w:ind w:left="506"/>
            </w:pPr>
            <w:r>
              <w:t>6</w:t>
            </w:r>
          </w:p>
        </w:tc>
        <w:tc>
          <w:tcPr>
            <w:tcW w:w="1273" w:type="dxa"/>
            <w:vMerge w:val="continue"/>
            <w:tcBorders>
              <w:top w:val="nil"/>
              <w:bottom w:val="nil"/>
            </w:tcBorders>
            <w:vAlign w:val="top"/>
          </w:tcPr>
          <w:p w14:paraId="6FB59580">
            <w:pPr>
              <w:rPr>
                <w:rFonts w:ascii="Arial"/>
                <w:sz w:val="21"/>
              </w:rPr>
            </w:pPr>
          </w:p>
        </w:tc>
        <w:tc>
          <w:tcPr>
            <w:tcW w:w="5275" w:type="dxa"/>
            <w:vAlign w:val="top"/>
          </w:tcPr>
          <w:p w14:paraId="3BC9B3A7">
            <w:pPr>
              <w:pStyle w:val="6"/>
              <w:spacing w:before="113" w:line="211" w:lineRule="auto"/>
              <w:ind w:left="1601"/>
            </w:pPr>
            <w:r>
              <w:rPr>
                <w:spacing w:val="-2"/>
              </w:rPr>
              <w:t>吸收碰撞能量（低温）</w:t>
            </w:r>
          </w:p>
        </w:tc>
        <w:tc>
          <w:tcPr>
            <w:tcW w:w="2557" w:type="dxa"/>
            <w:vAlign w:val="top"/>
          </w:tcPr>
          <w:p w14:paraId="33C93ED5">
            <w:pPr>
              <w:pStyle w:val="6"/>
              <w:spacing w:before="113" w:line="211" w:lineRule="auto"/>
              <w:ind w:left="177"/>
            </w:pPr>
            <w:r>
              <w:rPr>
                <w:spacing w:val="-1"/>
              </w:rPr>
              <w:t>GB 811—2022</w:t>
            </w:r>
            <w:r>
              <w:rPr>
                <w:spacing w:val="13"/>
              </w:rPr>
              <w:t xml:space="preserve"> </w:t>
            </w:r>
            <w:r>
              <w:rPr>
                <w:spacing w:val="-1"/>
              </w:rPr>
              <w:t>条款6.11</w:t>
            </w:r>
          </w:p>
        </w:tc>
      </w:tr>
      <w:tr w14:paraId="3DF95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06" w:type="dxa"/>
            <w:vAlign w:val="top"/>
          </w:tcPr>
          <w:p w14:paraId="2698A252">
            <w:pPr>
              <w:pStyle w:val="6"/>
              <w:spacing w:before="148" w:line="181" w:lineRule="auto"/>
              <w:ind w:left="509"/>
            </w:pPr>
            <w:r>
              <w:t>7</w:t>
            </w:r>
          </w:p>
        </w:tc>
        <w:tc>
          <w:tcPr>
            <w:tcW w:w="1273" w:type="dxa"/>
            <w:vMerge w:val="continue"/>
            <w:tcBorders>
              <w:top w:val="nil"/>
            </w:tcBorders>
            <w:vAlign w:val="top"/>
          </w:tcPr>
          <w:p w14:paraId="5F247F46">
            <w:pPr>
              <w:rPr>
                <w:rFonts w:ascii="Arial"/>
                <w:sz w:val="21"/>
              </w:rPr>
            </w:pPr>
          </w:p>
        </w:tc>
        <w:tc>
          <w:tcPr>
            <w:tcW w:w="5275" w:type="dxa"/>
            <w:vAlign w:val="top"/>
          </w:tcPr>
          <w:p w14:paraId="6F43562F">
            <w:pPr>
              <w:pStyle w:val="6"/>
              <w:spacing w:before="112" w:line="217" w:lineRule="auto"/>
              <w:ind w:left="1910"/>
            </w:pPr>
            <w:r>
              <w:rPr>
                <w:spacing w:val="-4"/>
              </w:rPr>
              <w:t>耐穿透（低温）</w:t>
            </w:r>
          </w:p>
        </w:tc>
        <w:tc>
          <w:tcPr>
            <w:tcW w:w="2557" w:type="dxa"/>
            <w:vAlign w:val="top"/>
          </w:tcPr>
          <w:p w14:paraId="7F51B92F">
            <w:pPr>
              <w:pStyle w:val="6"/>
              <w:spacing w:before="112" w:line="217" w:lineRule="auto"/>
              <w:ind w:left="177"/>
            </w:pPr>
            <w:r>
              <w:rPr>
                <w:spacing w:val="-1"/>
              </w:rPr>
              <w:t>GB 811—2022</w:t>
            </w:r>
            <w:r>
              <w:rPr>
                <w:spacing w:val="13"/>
              </w:rPr>
              <w:t xml:space="preserve"> </w:t>
            </w:r>
            <w:r>
              <w:rPr>
                <w:spacing w:val="-1"/>
              </w:rPr>
              <w:t>条款6.12</w:t>
            </w:r>
          </w:p>
        </w:tc>
      </w:tr>
    </w:tbl>
    <w:p w14:paraId="1FBED13C">
      <w:pPr>
        <w:pStyle w:val="2"/>
        <w:spacing w:before="113" w:line="221" w:lineRule="auto"/>
        <w:ind w:left="541"/>
      </w:pPr>
      <w:r>
        <w:rPr>
          <w:spacing w:val="-1"/>
        </w:rPr>
        <w:t>执行企业标准、团体标准、地方标准的产品，检验项目参照上述内容执行。</w:t>
      </w:r>
    </w:p>
    <w:p w14:paraId="2F648ECE">
      <w:pPr>
        <w:pStyle w:val="2"/>
        <w:spacing w:before="120" w:line="305" w:lineRule="auto"/>
        <w:ind w:left="157" w:right="436" w:firstLine="387"/>
      </w:pPr>
      <w:r>
        <w:t>凡是注日期的文件，其随后所有的修改单（不包括勘误的内容）或修订版不适用于本</w:t>
      </w:r>
      <w:r>
        <w:rPr>
          <w:spacing w:val="-1"/>
        </w:rPr>
        <w:t>细则。凡是不注</w:t>
      </w:r>
      <w:r>
        <w:t xml:space="preserve"> </w:t>
      </w:r>
      <w:r>
        <w:rPr>
          <w:spacing w:val="-4"/>
        </w:rPr>
        <w:t>日期的文件，其最新版本适用于本细则。</w:t>
      </w:r>
    </w:p>
    <w:p w14:paraId="3B5C1A33">
      <w:pPr>
        <w:spacing w:before="243" w:line="223" w:lineRule="auto"/>
        <w:ind w:left="351"/>
        <w:rPr>
          <w:rFonts w:ascii="黑体" w:hAnsi="黑体" w:eastAsia="黑体" w:cs="黑体"/>
          <w:sz w:val="21"/>
          <w:szCs w:val="21"/>
        </w:rPr>
      </w:pPr>
      <w:r>
        <w:rPr>
          <w:rFonts w:ascii="黑体" w:hAnsi="黑体" w:eastAsia="黑体" w:cs="黑体"/>
          <w:spacing w:val="-9"/>
          <w:sz w:val="21"/>
          <w:szCs w:val="21"/>
        </w:rPr>
        <w:t>3</w:t>
      </w:r>
      <w:r>
        <w:rPr>
          <w:rFonts w:ascii="黑体" w:hAnsi="黑体" w:eastAsia="黑体" w:cs="黑体"/>
          <w:spacing w:val="-13"/>
          <w:sz w:val="21"/>
          <w:szCs w:val="21"/>
        </w:rPr>
        <w:t xml:space="preserve"> </w:t>
      </w:r>
      <w:r>
        <w:rPr>
          <w:rFonts w:ascii="黑体" w:hAnsi="黑体" w:eastAsia="黑体" w:cs="黑体"/>
          <w:spacing w:val="-9"/>
          <w:sz w:val="21"/>
          <w:szCs w:val="21"/>
        </w:rPr>
        <w:t>判定规则</w:t>
      </w:r>
    </w:p>
    <w:p w14:paraId="76123093">
      <w:pPr>
        <w:pStyle w:val="2"/>
        <w:spacing w:before="32" w:line="220" w:lineRule="auto"/>
        <w:ind w:left="355"/>
      </w:pPr>
      <w:r>
        <w:rPr>
          <w:spacing w:val="-7"/>
        </w:rPr>
        <w:t>3.1</w:t>
      </w:r>
      <w:r>
        <w:rPr>
          <w:spacing w:val="-45"/>
        </w:rPr>
        <w:t xml:space="preserve"> </w:t>
      </w:r>
      <w:r>
        <w:rPr>
          <w:spacing w:val="-7"/>
        </w:rPr>
        <w:t>依据标准</w:t>
      </w:r>
    </w:p>
    <w:p w14:paraId="68429123">
      <w:pPr>
        <w:pStyle w:val="2"/>
        <w:spacing w:before="114" w:line="221" w:lineRule="auto"/>
        <w:ind w:left="538"/>
      </w:pPr>
      <w:r>
        <w:t>GB 811-2022 摩托车、电动自行车乘</w:t>
      </w:r>
      <w:r>
        <w:rPr>
          <w:spacing w:val="-1"/>
        </w:rPr>
        <w:t>员头盔</w:t>
      </w:r>
    </w:p>
    <w:p w14:paraId="6F8BD6D0">
      <w:pPr>
        <w:pStyle w:val="2"/>
        <w:spacing w:before="128" w:line="272" w:lineRule="auto"/>
        <w:ind w:left="355" w:right="3799" w:firstLine="187"/>
      </w:pPr>
      <w:r>
        <w:t>现行有效的企业标准、团体标准、地方标准及产</w:t>
      </w:r>
      <w:r>
        <w:rPr>
          <w:spacing w:val="-1"/>
        </w:rPr>
        <w:t>品明示质量要求</w:t>
      </w:r>
      <w:r>
        <w:t xml:space="preserve"> </w:t>
      </w:r>
      <w:r>
        <w:rPr>
          <w:spacing w:val="-6"/>
        </w:rPr>
        <w:t>3.2</w:t>
      </w:r>
      <w:r>
        <w:rPr>
          <w:spacing w:val="-52"/>
        </w:rPr>
        <w:t xml:space="preserve"> </w:t>
      </w:r>
      <w:r>
        <w:rPr>
          <w:spacing w:val="-6"/>
        </w:rPr>
        <w:t>判定原则</w:t>
      </w:r>
    </w:p>
    <w:p w14:paraId="2603916E">
      <w:pPr>
        <w:pStyle w:val="2"/>
        <w:spacing w:before="54" w:line="303" w:lineRule="auto"/>
        <w:ind w:left="124" w:right="227" w:firstLine="418"/>
      </w:pPr>
      <w:r>
        <w:t>经检验，检验项目全部合格，判定为被抽查产品所检项目未发现不合格；检验项目中任一项</w:t>
      </w:r>
      <w:r>
        <w:rPr>
          <w:spacing w:val="-1"/>
        </w:rPr>
        <w:t>或一项以上</w:t>
      </w:r>
      <w:r>
        <w:t xml:space="preserve"> </w:t>
      </w:r>
      <w:r>
        <w:rPr>
          <w:spacing w:val="-2"/>
        </w:rPr>
        <w:t>不合格，判定为被抽查产品不合格。</w:t>
      </w:r>
    </w:p>
    <w:p w14:paraId="0343EE27">
      <w:pPr>
        <w:pStyle w:val="2"/>
        <w:spacing w:before="32" w:line="305" w:lineRule="auto"/>
        <w:ind w:left="500" w:right="801"/>
      </w:pPr>
      <w:r>
        <w:rPr>
          <w:spacing w:val="-20"/>
        </w:rPr>
        <w:t>若被检产品明示的质量要求高于本细则中检验项目依据的标准要求</w:t>
      </w:r>
      <w:r>
        <w:rPr>
          <w:spacing w:val="-21"/>
        </w:rPr>
        <w:t>时，应按被检产品明示的质量要求判定。</w:t>
      </w:r>
      <w:r>
        <w:t xml:space="preserve"> </w:t>
      </w:r>
      <w:r>
        <w:rPr>
          <w:spacing w:val="-20"/>
        </w:rPr>
        <w:t>若被检产品明示的质量要求低于本细则中检验项目依据的强制性标</w:t>
      </w:r>
      <w:r>
        <w:rPr>
          <w:spacing w:val="-21"/>
        </w:rPr>
        <w:t>准要求时，应按照强制性标准要求判定。</w:t>
      </w:r>
    </w:p>
    <w:p w14:paraId="6ECF2681">
      <w:pPr>
        <w:pStyle w:val="2"/>
        <w:spacing w:before="35" w:line="305" w:lineRule="auto"/>
        <w:ind w:left="120" w:right="201" w:firstLine="379"/>
      </w:pPr>
      <w:r>
        <w:rPr>
          <w:spacing w:val="-20"/>
        </w:rPr>
        <w:t>若被检产品明示的质量要求低于或包含本细则中检验项目依据的推荐性标准要求时，应以被检产品明示的质量要求</w:t>
      </w:r>
      <w:r>
        <w:rPr>
          <w:spacing w:val="13"/>
        </w:rPr>
        <w:t xml:space="preserve"> </w:t>
      </w:r>
      <w:r>
        <w:rPr>
          <w:spacing w:val="-10"/>
        </w:rPr>
        <w:t>判定。</w:t>
      </w:r>
    </w:p>
    <w:p w14:paraId="54FC6E1F">
      <w:pPr>
        <w:pStyle w:val="2"/>
        <w:spacing w:before="29" w:line="305" w:lineRule="auto"/>
        <w:ind w:left="500" w:right="801"/>
      </w:pPr>
      <w:r>
        <w:rPr>
          <w:spacing w:val="-20"/>
        </w:rPr>
        <w:t>若被检产品明示的质量要求缺少本细则中检验项目依据的强制性标</w:t>
      </w:r>
      <w:r>
        <w:rPr>
          <w:spacing w:val="-21"/>
        </w:rPr>
        <w:t>准要求时，应按照强制性标准要求判定。</w:t>
      </w:r>
      <w:r>
        <w:t xml:space="preserve"> </w:t>
      </w:r>
      <w:r>
        <w:rPr>
          <w:spacing w:val="-20"/>
        </w:rPr>
        <w:t>若被检产品明示的质量要求缺少本细则中检验项目依据的推荐性标准要求时，该项目不参与判定。</w:t>
      </w:r>
    </w:p>
    <w:sectPr>
      <w:pgSz w:w="11912" w:h="16841"/>
      <w:pgMar w:top="1431" w:right="847" w:bottom="0" w:left="84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CDC29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737</Words>
  <Characters>819</Characters>
  <TotalTime>0</TotalTime>
  <ScaleCrop>false</ScaleCrop>
  <LinksUpToDate>false</LinksUpToDate>
  <CharactersWithSpaces>852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2025-01-22T11:14:00Z</dcterms:created>
  <dc:creator>Dell</dc:creator>
  <cp:lastModifiedBy>WPS_1645145261</cp:lastModifiedBy>
  <dcterms:modified xsi:type="dcterms:W3CDTF">2025-05-01T08:18:03Z</dcterms:modified>
  <dc:title>××产品质量监督抽查实施细则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2025-05-01T16:17:57Z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C1B18DBF421042D39988760DCEC65396_12</vt:lpwstr>
  </property>
</Properties>
</file>