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FA60B">
      <w:pPr>
        <w:spacing w:line="301" w:lineRule="auto"/>
        <w:rPr>
          <w:rFonts w:ascii="Arial"/>
          <w:sz w:val="21"/>
        </w:rPr>
      </w:pPr>
    </w:p>
    <w:p w14:paraId="4C6FF8AE">
      <w:pPr>
        <w:spacing w:before="133" w:line="178" w:lineRule="auto"/>
        <w:ind w:left="816"/>
        <w:outlineLvl w:val="0"/>
        <w:rPr>
          <w:rFonts w:ascii="微软雅黑" w:hAnsi="微软雅黑" w:eastAsia="微软雅黑" w:cs="微软雅黑"/>
          <w:sz w:val="31"/>
          <w:szCs w:val="31"/>
        </w:rPr>
      </w:pPr>
      <w:r>
        <w:rPr>
          <w:rFonts w:hint="eastAsia" w:ascii="微软雅黑" w:hAnsi="微软雅黑" w:eastAsia="微软雅黑" w:cs="微软雅黑"/>
          <w:b/>
          <w:bCs/>
          <w:spacing w:val="8"/>
          <w:sz w:val="31"/>
          <w:szCs w:val="31"/>
          <w:lang w:val="en-US" w:eastAsia="zh-CN"/>
        </w:rPr>
        <w:t>通城县</w:t>
      </w:r>
      <w:bookmarkStart w:id="0" w:name="_GoBack"/>
      <w:bookmarkEnd w:id="0"/>
      <w:r>
        <w:rPr>
          <w:rFonts w:ascii="微软雅黑" w:hAnsi="微软雅黑" w:eastAsia="微软雅黑" w:cs="微软雅黑"/>
          <w:b/>
          <w:bCs/>
          <w:spacing w:val="8"/>
          <w:sz w:val="31"/>
          <w:szCs w:val="31"/>
        </w:rPr>
        <w:t>建筑用夹层玻璃产品质量监督抽查实施细则</w:t>
      </w:r>
    </w:p>
    <w:p w14:paraId="64C1327B">
      <w:pPr>
        <w:spacing w:before="230" w:line="186" w:lineRule="auto"/>
        <w:ind w:left="3281"/>
        <w:outlineLvl w:val="0"/>
        <w:rPr>
          <w:rFonts w:ascii="微软雅黑" w:hAnsi="微软雅黑" w:eastAsia="微软雅黑" w:cs="微软雅黑"/>
          <w:sz w:val="31"/>
          <w:szCs w:val="31"/>
        </w:rPr>
      </w:pPr>
      <w:r>
        <w:rPr>
          <w:rFonts w:ascii="微软雅黑" w:hAnsi="微软雅黑" w:eastAsia="微软雅黑" w:cs="微软雅黑"/>
          <w:b/>
          <w:bCs/>
          <w:spacing w:val="11"/>
          <w:sz w:val="31"/>
          <w:szCs w:val="31"/>
        </w:rPr>
        <w:t>（</w:t>
      </w:r>
      <w:r>
        <w:rPr>
          <w:rFonts w:ascii="Constantia" w:hAnsi="Constantia" w:eastAsia="Constantia" w:cs="Constantia"/>
          <w:b/>
          <w:bCs/>
          <w:spacing w:val="11"/>
          <w:sz w:val="31"/>
          <w:szCs w:val="31"/>
        </w:rPr>
        <w:t>2025</w:t>
      </w:r>
      <w:r>
        <w:rPr>
          <w:rFonts w:ascii="Constantia" w:hAnsi="Constantia" w:eastAsia="Constantia" w:cs="Constantia"/>
          <w:b/>
          <w:bCs/>
          <w:spacing w:val="38"/>
          <w:sz w:val="31"/>
          <w:szCs w:val="31"/>
        </w:rPr>
        <w:t xml:space="preserve"> </w:t>
      </w:r>
      <w:r>
        <w:rPr>
          <w:rFonts w:ascii="微软雅黑" w:hAnsi="微软雅黑" w:eastAsia="微软雅黑" w:cs="微软雅黑"/>
          <w:b/>
          <w:bCs/>
          <w:spacing w:val="11"/>
          <w:sz w:val="31"/>
          <w:szCs w:val="31"/>
        </w:rPr>
        <w:t>年版）</w:t>
      </w:r>
    </w:p>
    <w:p w14:paraId="00E9CD41">
      <w:pPr>
        <w:spacing w:line="256" w:lineRule="auto"/>
        <w:rPr>
          <w:rFonts w:ascii="Arial"/>
          <w:sz w:val="21"/>
        </w:rPr>
      </w:pPr>
    </w:p>
    <w:p w14:paraId="3612888B">
      <w:pPr>
        <w:spacing w:line="256" w:lineRule="auto"/>
        <w:rPr>
          <w:rFonts w:ascii="Arial"/>
          <w:sz w:val="21"/>
        </w:rPr>
      </w:pPr>
    </w:p>
    <w:p w14:paraId="2D2354A4">
      <w:pPr>
        <w:spacing w:line="256" w:lineRule="auto"/>
        <w:rPr>
          <w:rFonts w:ascii="Arial"/>
          <w:sz w:val="21"/>
        </w:rPr>
      </w:pPr>
    </w:p>
    <w:p w14:paraId="5872A159">
      <w:pPr>
        <w:pStyle w:val="2"/>
        <w:spacing w:before="68" w:line="220" w:lineRule="auto"/>
        <w:ind w:left="29"/>
        <w:outlineLvl w:val="1"/>
      </w:pPr>
      <w:r>
        <w:rPr>
          <w:rFonts w:ascii="Constantia" w:hAnsi="Constantia" w:eastAsia="Constantia" w:cs="Constantia"/>
          <w:b/>
          <w:bCs/>
          <w:spacing w:val="-3"/>
        </w:rPr>
        <w:t>1</w:t>
      </w:r>
      <w:r>
        <w:rPr>
          <w:rFonts w:ascii="Constantia" w:hAnsi="Constantia" w:eastAsia="Constantia" w:cs="Constantia"/>
          <w:b/>
          <w:bCs/>
          <w:spacing w:val="8"/>
        </w:rPr>
        <w:t xml:space="preserve">  </w:t>
      </w:r>
      <w:r>
        <w:rPr>
          <w:b/>
          <w:bCs/>
          <w:spacing w:val="-3"/>
        </w:rPr>
        <w:t>抽样方法</w:t>
      </w:r>
    </w:p>
    <w:p w14:paraId="5789BBA3">
      <w:pPr>
        <w:pStyle w:val="2"/>
        <w:spacing w:before="188" w:line="378" w:lineRule="auto"/>
        <w:ind w:left="24" w:right="72" w:firstLine="407"/>
        <w:jc w:val="both"/>
      </w:pPr>
      <w:r>
        <w:rPr>
          <w:b/>
          <w:bCs/>
          <w:spacing w:val="-2"/>
        </w:rPr>
        <w:t>对于可切裁的产品，以随机抽样的方式在成品库内（包括成品堆放区）或市场待</w:t>
      </w:r>
      <w:r>
        <w:rPr>
          <w:b/>
          <w:bCs/>
          <w:spacing w:val="-3"/>
        </w:rPr>
        <w:t>销产品中</w:t>
      </w:r>
      <w:r>
        <w:t xml:space="preserve"> </w:t>
      </w:r>
      <w:r>
        <w:rPr>
          <w:b/>
          <w:bCs/>
          <w:spacing w:val="-2"/>
        </w:rPr>
        <w:t>随机抽取后进行切裁；对于不可切裁的产品，采</w:t>
      </w:r>
      <w:r>
        <w:rPr>
          <w:b/>
          <w:bCs/>
          <w:spacing w:val="-3"/>
        </w:rPr>
        <w:t>用与拟抽查批次产品相同材料、相同结果、相</w:t>
      </w:r>
      <w:r>
        <w:t xml:space="preserve"> </w:t>
      </w:r>
      <w:r>
        <w:rPr>
          <w:b/>
          <w:bCs/>
          <w:spacing w:val="-4"/>
        </w:rPr>
        <w:t>同工艺条件现场制作方式提供全部抽查样品。</w:t>
      </w:r>
    </w:p>
    <w:p w14:paraId="25824592">
      <w:pPr>
        <w:pStyle w:val="2"/>
        <w:spacing w:before="29" w:line="220" w:lineRule="auto"/>
        <w:ind w:left="444"/>
      </w:pPr>
      <w:r>
        <w:rPr>
          <w:b/>
          <w:bCs/>
          <w:spacing w:val="-3"/>
        </w:rPr>
        <w:t>随机数一般可使用随机数表、骰子或扑克牌等方法产生。</w:t>
      </w:r>
    </w:p>
    <w:p w14:paraId="26ACF58A">
      <w:pPr>
        <w:pStyle w:val="2"/>
        <w:spacing w:before="189" w:line="220" w:lineRule="auto"/>
        <w:ind w:left="9"/>
        <w:outlineLvl w:val="1"/>
      </w:pPr>
      <w:r>
        <w:rPr>
          <w:rFonts w:ascii="Constantia" w:hAnsi="Constantia" w:eastAsia="Constantia" w:cs="Constantia"/>
          <w:b/>
          <w:bCs/>
          <w:spacing w:val="-3"/>
        </w:rPr>
        <w:t>2</w:t>
      </w:r>
      <w:r>
        <w:rPr>
          <w:rFonts w:ascii="Constantia" w:hAnsi="Constantia" w:eastAsia="Constantia" w:cs="Constantia"/>
          <w:b/>
          <w:bCs/>
          <w:spacing w:val="6"/>
        </w:rPr>
        <w:t xml:space="preserve">  </w:t>
      </w:r>
      <w:r>
        <w:rPr>
          <w:b/>
          <w:bCs/>
          <w:spacing w:val="-3"/>
        </w:rPr>
        <w:t>检验依据</w:t>
      </w:r>
    </w:p>
    <w:p w14:paraId="52AC8E93">
      <w:pPr>
        <w:spacing w:before="141"/>
      </w:pPr>
    </w:p>
    <w:tbl>
      <w:tblPr>
        <w:tblStyle w:val="5"/>
        <w:tblW w:w="850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8"/>
        <w:gridCol w:w="2507"/>
        <w:gridCol w:w="2548"/>
        <w:gridCol w:w="2412"/>
      </w:tblGrid>
      <w:tr w14:paraId="3B9A0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038" w:type="dxa"/>
            <w:tcBorders>
              <w:left w:val="single" w:color="000000" w:sz="6" w:space="0"/>
              <w:right w:val="single" w:color="000000" w:sz="8" w:space="0"/>
            </w:tcBorders>
            <w:vAlign w:val="top"/>
          </w:tcPr>
          <w:p w14:paraId="5E44354C">
            <w:pPr>
              <w:spacing w:before="175" w:line="222" w:lineRule="auto"/>
              <w:ind w:left="304"/>
              <w:rPr>
                <w:rFonts w:ascii="宋体" w:hAnsi="宋体" w:eastAsia="宋体" w:cs="宋体"/>
                <w:sz w:val="21"/>
                <w:szCs w:val="21"/>
              </w:rPr>
            </w:pPr>
            <w:r>
              <w:rPr>
                <w:rFonts w:ascii="宋体" w:hAnsi="宋体" w:eastAsia="宋体" w:cs="宋体"/>
                <w:b/>
                <w:bCs/>
                <w:spacing w:val="-5"/>
                <w:sz w:val="21"/>
                <w:szCs w:val="21"/>
              </w:rPr>
              <w:t>序号</w:t>
            </w:r>
          </w:p>
        </w:tc>
        <w:tc>
          <w:tcPr>
            <w:tcW w:w="2507" w:type="dxa"/>
            <w:tcBorders>
              <w:left w:val="single" w:color="000000" w:sz="8" w:space="0"/>
              <w:right w:val="single" w:color="000000" w:sz="8" w:space="0"/>
            </w:tcBorders>
            <w:vAlign w:val="top"/>
          </w:tcPr>
          <w:p w14:paraId="210161DB">
            <w:pPr>
              <w:spacing w:before="176" w:line="220" w:lineRule="auto"/>
              <w:ind w:left="824"/>
              <w:rPr>
                <w:rFonts w:ascii="宋体" w:hAnsi="宋体" w:eastAsia="宋体" w:cs="宋体"/>
                <w:sz w:val="21"/>
                <w:szCs w:val="21"/>
              </w:rPr>
            </w:pPr>
            <w:r>
              <w:rPr>
                <w:rFonts w:ascii="宋体" w:hAnsi="宋体" w:eastAsia="宋体" w:cs="宋体"/>
                <w:b/>
                <w:bCs/>
                <w:spacing w:val="-4"/>
                <w:sz w:val="21"/>
                <w:szCs w:val="21"/>
              </w:rPr>
              <w:t>检验项目</w:t>
            </w:r>
          </w:p>
        </w:tc>
        <w:tc>
          <w:tcPr>
            <w:tcW w:w="2548" w:type="dxa"/>
            <w:tcBorders>
              <w:left w:val="single" w:color="000000" w:sz="8" w:space="0"/>
              <w:right w:val="single" w:color="000000" w:sz="8" w:space="0"/>
            </w:tcBorders>
            <w:vAlign w:val="top"/>
          </w:tcPr>
          <w:p w14:paraId="778641F0">
            <w:pPr>
              <w:spacing w:before="175" w:line="220" w:lineRule="auto"/>
              <w:ind w:left="849"/>
              <w:rPr>
                <w:rFonts w:ascii="宋体" w:hAnsi="宋体" w:eastAsia="宋体" w:cs="宋体"/>
                <w:sz w:val="21"/>
                <w:szCs w:val="21"/>
              </w:rPr>
            </w:pPr>
            <w:r>
              <w:rPr>
                <w:rFonts w:ascii="宋体" w:hAnsi="宋体" w:eastAsia="宋体" w:cs="宋体"/>
                <w:b/>
                <w:bCs/>
                <w:spacing w:val="-4"/>
                <w:sz w:val="21"/>
                <w:szCs w:val="21"/>
              </w:rPr>
              <w:t>检验依据</w:t>
            </w:r>
          </w:p>
        </w:tc>
        <w:tc>
          <w:tcPr>
            <w:tcW w:w="2412" w:type="dxa"/>
            <w:tcBorders>
              <w:left w:val="single" w:color="000000" w:sz="8" w:space="0"/>
              <w:bottom w:val="single" w:color="000000" w:sz="6" w:space="0"/>
            </w:tcBorders>
            <w:vAlign w:val="top"/>
          </w:tcPr>
          <w:p w14:paraId="3487513C">
            <w:pPr>
              <w:spacing w:before="176" w:line="220" w:lineRule="auto"/>
              <w:ind w:left="783"/>
              <w:rPr>
                <w:rFonts w:ascii="宋体" w:hAnsi="宋体" w:eastAsia="宋体" w:cs="宋体"/>
                <w:sz w:val="21"/>
                <w:szCs w:val="21"/>
              </w:rPr>
            </w:pPr>
            <w:r>
              <w:rPr>
                <w:rFonts w:ascii="宋体" w:hAnsi="宋体" w:eastAsia="宋体" w:cs="宋体"/>
                <w:b/>
                <w:bCs/>
                <w:spacing w:val="-4"/>
                <w:sz w:val="21"/>
                <w:szCs w:val="21"/>
              </w:rPr>
              <w:t>检验方法</w:t>
            </w:r>
          </w:p>
        </w:tc>
      </w:tr>
      <w:tr w14:paraId="42201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8" w:type="dxa"/>
            <w:tcBorders>
              <w:left w:val="single" w:color="000000" w:sz="6" w:space="0"/>
              <w:right w:val="single" w:color="000000" w:sz="8" w:space="0"/>
            </w:tcBorders>
            <w:vAlign w:val="top"/>
          </w:tcPr>
          <w:p w14:paraId="7AFEB082">
            <w:pPr>
              <w:pStyle w:val="6"/>
              <w:spacing w:before="143" w:line="188" w:lineRule="auto"/>
              <w:ind w:left="477"/>
            </w:pPr>
            <w:r>
              <w:rPr>
                <w:b/>
                <w:bCs/>
                <w:spacing w:val="4"/>
              </w:rPr>
              <w:t>1</w:t>
            </w:r>
          </w:p>
        </w:tc>
        <w:tc>
          <w:tcPr>
            <w:tcW w:w="2507" w:type="dxa"/>
            <w:tcBorders>
              <w:left w:val="single" w:color="000000" w:sz="8" w:space="0"/>
              <w:right w:val="single" w:color="000000" w:sz="8" w:space="0"/>
            </w:tcBorders>
            <w:vAlign w:val="top"/>
          </w:tcPr>
          <w:p w14:paraId="2ADB3606">
            <w:pPr>
              <w:spacing w:before="169" w:line="220" w:lineRule="auto"/>
              <w:ind w:left="829"/>
              <w:rPr>
                <w:rFonts w:ascii="宋体" w:hAnsi="宋体" w:eastAsia="宋体" w:cs="宋体"/>
                <w:sz w:val="21"/>
                <w:szCs w:val="21"/>
              </w:rPr>
            </w:pPr>
            <w:r>
              <w:rPr>
                <w:rFonts w:ascii="宋体" w:hAnsi="宋体" w:eastAsia="宋体" w:cs="宋体"/>
                <w:b/>
                <w:bCs/>
                <w:spacing w:val="-5"/>
                <w:sz w:val="21"/>
                <w:szCs w:val="21"/>
              </w:rPr>
              <w:t>厚度偏差</w:t>
            </w:r>
          </w:p>
        </w:tc>
        <w:tc>
          <w:tcPr>
            <w:tcW w:w="2548" w:type="dxa"/>
            <w:tcBorders>
              <w:left w:val="single" w:color="000000" w:sz="8" w:space="0"/>
              <w:right w:val="single" w:color="000000" w:sz="8" w:space="0"/>
            </w:tcBorders>
            <w:vAlign w:val="top"/>
          </w:tcPr>
          <w:p w14:paraId="503FA224">
            <w:pPr>
              <w:pStyle w:val="6"/>
              <w:spacing w:before="142" w:line="158" w:lineRule="exact"/>
              <w:ind w:left="440"/>
            </w:pPr>
            <w:r>
              <w:rPr>
                <w:b/>
                <w:bCs/>
                <w:spacing w:val="-2"/>
                <w:position w:val="2"/>
              </w:rPr>
              <w:t>GB</w:t>
            </w:r>
            <w:r>
              <w:rPr>
                <w:b/>
                <w:bCs/>
                <w:spacing w:val="34"/>
                <w:position w:val="2"/>
              </w:rPr>
              <w:t xml:space="preserve"> </w:t>
            </w:r>
            <w:r>
              <w:rPr>
                <w:b/>
                <w:bCs/>
                <w:spacing w:val="-2"/>
                <w:position w:val="2"/>
              </w:rPr>
              <w:t>15763.3—2009</w:t>
            </w:r>
          </w:p>
        </w:tc>
        <w:tc>
          <w:tcPr>
            <w:tcW w:w="2412" w:type="dxa"/>
            <w:tcBorders>
              <w:left w:val="single" w:color="000000" w:sz="8" w:space="0"/>
              <w:bottom w:val="single" w:color="000000" w:sz="6" w:space="0"/>
            </w:tcBorders>
            <w:vAlign w:val="top"/>
          </w:tcPr>
          <w:p w14:paraId="007CB02D">
            <w:pPr>
              <w:pStyle w:val="6"/>
              <w:spacing w:before="142" w:line="158" w:lineRule="exact"/>
              <w:ind w:left="374"/>
            </w:pPr>
            <w:r>
              <w:rPr>
                <w:b/>
                <w:bCs/>
                <w:spacing w:val="-2"/>
                <w:position w:val="2"/>
              </w:rPr>
              <w:t>GB</w:t>
            </w:r>
            <w:r>
              <w:rPr>
                <w:b/>
                <w:bCs/>
                <w:spacing w:val="34"/>
                <w:position w:val="2"/>
              </w:rPr>
              <w:t xml:space="preserve"> </w:t>
            </w:r>
            <w:r>
              <w:rPr>
                <w:b/>
                <w:bCs/>
                <w:spacing w:val="-2"/>
                <w:position w:val="2"/>
              </w:rPr>
              <w:t>15763.3—2009</w:t>
            </w:r>
          </w:p>
        </w:tc>
      </w:tr>
      <w:tr w14:paraId="2BD50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038" w:type="dxa"/>
            <w:tcBorders>
              <w:left w:val="single" w:color="000000" w:sz="6" w:space="0"/>
              <w:right w:val="single" w:color="000000" w:sz="8" w:space="0"/>
            </w:tcBorders>
            <w:vAlign w:val="top"/>
          </w:tcPr>
          <w:p w14:paraId="1EE9C333">
            <w:pPr>
              <w:pStyle w:val="6"/>
              <w:spacing w:before="142" w:line="188" w:lineRule="auto"/>
              <w:ind w:left="457"/>
            </w:pPr>
            <w:r>
              <w:rPr>
                <w:b/>
                <w:bCs/>
              </w:rPr>
              <w:t>2</w:t>
            </w:r>
          </w:p>
        </w:tc>
        <w:tc>
          <w:tcPr>
            <w:tcW w:w="2507" w:type="dxa"/>
            <w:tcBorders>
              <w:left w:val="single" w:color="000000" w:sz="8" w:space="0"/>
              <w:right w:val="single" w:color="000000" w:sz="8" w:space="0"/>
            </w:tcBorders>
            <w:vAlign w:val="top"/>
          </w:tcPr>
          <w:p w14:paraId="2B7C62BD">
            <w:pPr>
              <w:spacing w:before="170" w:line="222" w:lineRule="auto"/>
              <w:ind w:left="932"/>
              <w:rPr>
                <w:rFonts w:ascii="宋体" w:hAnsi="宋体" w:eastAsia="宋体" w:cs="宋体"/>
                <w:sz w:val="21"/>
                <w:szCs w:val="21"/>
              </w:rPr>
            </w:pPr>
            <w:r>
              <w:rPr>
                <w:rFonts w:ascii="宋体" w:hAnsi="宋体" w:eastAsia="宋体" w:cs="宋体"/>
                <w:b/>
                <w:bCs/>
                <w:spacing w:val="-5"/>
                <w:sz w:val="21"/>
                <w:szCs w:val="21"/>
              </w:rPr>
              <w:t>耐热性</w:t>
            </w:r>
          </w:p>
        </w:tc>
        <w:tc>
          <w:tcPr>
            <w:tcW w:w="2548" w:type="dxa"/>
            <w:tcBorders>
              <w:left w:val="single" w:color="000000" w:sz="8" w:space="0"/>
              <w:right w:val="single" w:color="000000" w:sz="8" w:space="0"/>
            </w:tcBorders>
            <w:vAlign w:val="top"/>
          </w:tcPr>
          <w:p w14:paraId="7F5FC601">
            <w:pPr>
              <w:pStyle w:val="6"/>
              <w:spacing w:before="142" w:line="157" w:lineRule="exact"/>
              <w:ind w:left="440"/>
            </w:pPr>
            <w:r>
              <w:rPr>
                <w:b/>
                <w:bCs/>
                <w:spacing w:val="-2"/>
                <w:position w:val="2"/>
              </w:rPr>
              <w:t>GB</w:t>
            </w:r>
            <w:r>
              <w:rPr>
                <w:b/>
                <w:bCs/>
                <w:spacing w:val="34"/>
                <w:position w:val="2"/>
              </w:rPr>
              <w:t xml:space="preserve"> </w:t>
            </w:r>
            <w:r>
              <w:rPr>
                <w:b/>
                <w:bCs/>
                <w:spacing w:val="-2"/>
                <w:position w:val="2"/>
              </w:rPr>
              <w:t>15763.3—2009</w:t>
            </w:r>
          </w:p>
        </w:tc>
        <w:tc>
          <w:tcPr>
            <w:tcW w:w="2412" w:type="dxa"/>
            <w:tcBorders>
              <w:left w:val="single" w:color="000000" w:sz="8" w:space="0"/>
              <w:bottom w:val="single" w:color="000000" w:sz="6" w:space="0"/>
            </w:tcBorders>
            <w:vAlign w:val="top"/>
          </w:tcPr>
          <w:p w14:paraId="0416F905">
            <w:pPr>
              <w:pStyle w:val="6"/>
              <w:spacing w:before="142" w:line="157" w:lineRule="exact"/>
              <w:ind w:left="374"/>
            </w:pPr>
            <w:r>
              <w:rPr>
                <w:b/>
                <w:bCs/>
                <w:spacing w:val="-2"/>
                <w:position w:val="2"/>
              </w:rPr>
              <w:t>GB</w:t>
            </w:r>
            <w:r>
              <w:rPr>
                <w:b/>
                <w:bCs/>
                <w:spacing w:val="34"/>
                <w:position w:val="2"/>
              </w:rPr>
              <w:t xml:space="preserve"> </w:t>
            </w:r>
            <w:r>
              <w:rPr>
                <w:b/>
                <w:bCs/>
                <w:spacing w:val="-2"/>
                <w:position w:val="2"/>
              </w:rPr>
              <w:t>15763.3—2009</w:t>
            </w:r>
          </w:p>
        </w:tc>
      </w:tr>
      <w:tr w14:paraId="00BA8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8" w:type="dxa"/>
            <w:tcBorders>
              <w:left w:val="single" w:color="000000" w:sz="6" w:space="0"/>
              <w:right w:val="single" w:color="000000" w:sz="8" w:space="0"/>
            </w:tcBorders>
            <w:vAlign w:val="top"/>
          </w:tcPr>
          <w:p w14:paraId="27187025">
            <w:pPr>
              <w:pStyle w:val="6"/>
              <w:spacing w:before="144" w:line="156" w:lineRule="exact"/>
              <w:ind w:left="461"/>
            </w:pPr>
            <w:r>
              <w:rPr>
                <w:b/>
                <w:bCs/>
                <w:spacing w:val="1"/>
                <w:position w:val="2"/>
              </w:rPr>
              <w:t>3</w:t>
            </w:r>
          </w:p>
        </w:tc>
        <w:tc>
          <w:tcPr>
            <w:tcW w:w="2507" w:type="dxa"/>
            <w:tcBorders>
              <w:left w:val="single" w:color="000000" w:sz="8" w:space="0"/>
              <w:right w:val="single" w:color="000000" w:sz="8" w:space="0"/>
            </w:tcBorders>
            <w:vAlign w:val="top"/>
          </w:tcPr>
          <w:p w14:paraId="2F52E7C9">
            <w:pPr>
              <w:spacing w:before="172" w:line="222" w:lineRule="auto"/>
              <w:ind w:left="932"/>
              <w:rPr>
                <w:rFonts w:ascii="宋体" w:hAnsi="宋体" w:eastAsia="宋体" w:cs="宋体"/>
                <w:sz w:val="21"/>
                <w:szCs w:val="21"/>
              </w:rPr>
            </w:pPr>
            <w:r>
              <w:rPr>
                <w:rFonts w:ascii="宋体" w:hAnsi="宋体" w:eastAsia="宋体" w:cs="宋体"/>
                <w:b/>
                <w:bCs/>
                <w:spacing w:val="-5"/>
                <w:sz w:val="21"/>
                <w:szCs w:val="21"/>
              </w:rPr>
              <w:t>耐湿性</w:t>
            </w:r>
          </w:p>
        </w:tc>
        <w:tc>
          <w:tcPr>
            <w:tcW w:w="2548" w:type="dxa"/>
            <w:tcBorders>
              <w:left w:val="single" w:color="000000" w:sz="8" w:space="0"/>
              <w:right w:val="single" w:color="000000" w:sz="8" w:space="0"/>
            </w:tcBorders>
            <w:vAlign w:val="top"/>
          </w:tcPr>
          <w:p w14:paraId="17E16179">
            <w:pPr>
              <w:pStyle w:val="6"/>
              <w:spacing w:before="144" w:line="157" w:lineRule="exact"/>
              <w:ind w:left="440"/>
            </w:pPr>
            <w:r>
              <w:rPr>
                <w:b/>
                <w:bCs/>
                <w:spacing w:val="-2"/>
                <w:position w:val="2"/>
              </w:rPr>
              <w:t>GB</w:t>
            </w:r>
            <w:r>
              <w:rPr>
                <w:b/>
                <w:bCs/>
                <w:spacing w:val="34"/>
                <w:position w:val="2"/>
              </w:rPr>
              <w:t xml:space="preserve"> </w:t>
            </w:r>
            <w:r>
              <w:rPr>
                <w:b/>
                <w:bCs/>
                <w:spacing w:val="-2"/>
                <w:position w:val="2"/>
              </w:rPr>
              <w:t>15763.3—2009</w:t>
            </w:r>
          </w:p>
        </w:tc>
        <w:tc>
          <w:tcPr>
            <w:tcW w:w="2412" w:type="dxa"/>
            <w:tcBorders>
              <w:left w:val="single" w:color="000000" w:sz="8" w:space="0"/>
            </w:tcBorders>
            <w:vAlign w:val="top"/>
          </w:tcPr>
          <w:p w14:paraId="6594DBF3">
            <w:pPr>
              <w:pStyle w:val="6"/>
              <w:spacing w:before="140" w:line="161" w:lineRule="exact"/>
              <w:ind w:left="334"/>
            </w:pPr>
            <w:r>
              <w:rPr>
                <w:b/>
                <w:bCs/>
                <w:spacing w:val="-1"/>
                <w:position w:val="1"/>
              </w:rPr>
              <w:t>GB/T 5137.3—2002</w:t>
            </w:r>
          </w:p>
        </w:tc>
      </w:tr>
      <w:tr w14:paraId="39B26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38" w:type="dxa"/>
            <w:vAlign w:val="top"/>
          </w:tcPr>
          <w:p w14:paraId="32F5776C">
            <w:pPr>
              <w:pStyle w:val="6"/>
              <w:spacing w:before="158" w:line="157" w:lineRule="exact"/>
              <w:ind w:left="461"/>
            </w:pPr>
            <w:r>
              <w:rPr>
                <w:b/>
                <w:bCs/>
                <w:position w:val="2"/>
              </w:rPr>
              <w:t>4</w:t>
            </w:r>
          </w:p>
        </w:tc>
        <w:tc>
          <w:tcPr>
            <w:tcW w:w="2507" w:type="dxa"/>
            <w:vAlign w:val="top"/>
          </w:tcPr>
          <w:p w14:paraId="31CF82C0">
            <w:pPr>
              <w:spacing w:before="184" w:line="220" w:lineRule="auto"/>
              <w:ind w:left="834"/>
              <w:rPr>
                <w:rFonts w:ascii="宋体" w:hAnsi="宋体" w:eastAsia="宋体" w:cs="宋体"/>
                <w:sz w:val="21"/>
                <w:szCs w:val="21"/>
              </w:rPr>
            </w:pPr>
            <w:r>
              <w:rPr>
                <w:rFonts w:ascii="宋体" w:hAnsi="宋体" w:eastAsia="宋体" w:cs="宋体"/>
                <w:b/>
                <w:bCs/>
                <w:spacing w:val="-4"/>
                <w:sz w:val="21"/>
                <w:szCs w:val="21"/>
              </w:rPr>
              <w:t>耐辐照性</w:t>
            </w:r>
          </w:p>
        </w:tc>
        <w:tc>
          <w:tcPr>
            <w:tcW w:w="2548" w:type="dxa"/>
            <w:vAlign w:val="top"/>
          </w:tcPr>
          <w:p w14:paraId="62E3DCB1">
            <w:pPr>
              <w:pStyle w:val="6"/>
              <w:spacing w:before="157" w:line="158" w:lineRule="exact"/>
              <w:ind w:left="448"/>
            </w:pPr>
            <w:r>
              <w:rPr>
                <w:b/>
                <w:bCs/>
                <w:spacing w:val="-2"/>
                <w:position w:val="2"/>
              </w:rPr>
              <w:t>GB</w:t>
            </w:r>
            <w:r>
              <w:rPr>
                <w:b/>
                <w:bCs/>
                <w:spacing w:val="34"/>
                <w:position w:val="2"/>
              </w:rPr>
              <w:t xml:space="preserve"> </w:t>
            </w:r>
            <w:r>
              <w:rPr>
                <w:b/>
                <w:bCs/>
                <w:spacing w:val="-2"/>
                <w:position w:val="2"/>
              </w:rPr>
              <w:t>15763.3—2009</w:t>
            </w:r>
          </w:p>
        </w:tc>
        <w:tc>
          <w:tcPr>
            <w:tcW w:w="2412" w:type="dxa"/>
            <w:vAlign w:val="top"/>
          </w:tcPr>
          <w:p w14:paraId="1348651A">
            <w:pPr>
              <w:pStyle w:val="6"/>
              <w:spacing w:before="154" w:line="161" w:lineRule="exact"/>
              <w:ind w:left="341"/>
            </w:pPr>
            <w:r>
              <w:rPr>
                <w:b/>
                <w:bCs/>
                <w:spacing w:val="-1"/>
                <w:position w:val="1"/>
              </w:rPr>
              <w:t>GB/T 5137.3—2002</w:t>
            </w:r>
          </w:p>
        </w:tc>
      </w:tr>
    </w:tbl>
    <w:p w14:paraId="4EBEA5FE">
      <w:pPr>
        <w:pStyle w:val="2"/>
        <w:spacing w:before="172" w:line="220" w:lineRule="auto"/>
        <w:ind w:left="433"/>
      </w:pPr>
      <w:r>
        <w:rPr>
          <w:b/>
          <w:bCs/>
          <w:spacing w:val="-2"/>
        </w:rPr>
        <w:t>执行企业标准、团体标准、地方标准的产品，检</w:t>
      </w:r>
      <w:r>
        <w:rPr>
          <w:b/>
          <w:bCs/>
          <w:spacing w:val="-3"/>
        </w:rPr>
        <w:t>验项目参照上述内容执行。</w:t>
      </w:r>
    </w:p>
    <w:p w14:paraId="2ADE0C70">
      <w:pPr>
        <w:pStyle w:val="2"/>
        <w:spacing w:before="189" w:line="372" w:lineRule="auto"/>
        <w:ind w:left="17" w:firstLine="420"/>
      </w:pPr>
      <w:r>
        <w:rPr>
          <w:b/>
          <w:bCs/>
          <w:spacing w:val="-6"/>
        </w:rPr>
        <w:t>凡是注日期的文件，其随后所有的修改单（不包括勘误的内容）或修订版不适用于本细则。</w:t>
      </w:r>
      <w:r>
        <w:rPr>
          <w:spacing w:val="13"/>
        </w:rPr>
        <w:t xml:space="preserve"> </w:t>
      </w:r>
      <w:r>
        <w:rPr>
          <w:b/>
          <w:bCs/>
          <w:spacing w:val="-3"/>
        </w:rPr>
        <w:t>凡是不注日期的文件，其最新版本适用于本细则。</w:t>
      </w:r>
    </w:p>
    <w:p w14:paraId="50C49A06">
      <w:pPr>
        <w:pStyle w:val="2"/>
        <w:spacing w:before="33" w:line="292" w:lineRule="auto"/>
        <w:ind w:left="13" w:right="7538"/>
        <w:outlineLvl w:val="1"/>
      </w:pPr>
      <w:r>
        <w:rPr>
          <w:rFonts w:ascii="Constantia" w:hAnsi="Constantia" w:eastAsia="Constantia" w:cs="Constantia"/>
          <w:b/>
          <w:bCs/>
          <w:spacing w:val="-3"/>
        </w:rPr>
        <w:t>3</w:t>
      </w:r>
      <w:r>
        <w:rPr>
          <w:rFonts w:ascii="Constantia" w:hAnsi="Constantia" w:eastAsia="Constantia" w:cs="Constantia"/>
          <w:b/>
          <w:bCs/>
          <w:spacing w:val="7"/>
        </w:rPr>
        <w:t xml:space="preserve">  </w:t>
      </w:r>
      <w:r>
        <w:rPr>
          <w:b/>
          <w:bCs/>
          <w:spacing w:val="-3"/>
        </w:rPr>
        <w:t>判定规则</w:t>
      </w:r>
      <w:r>
        <w:t xml:space="preserve">  </w:t>
      </w:r>
      <w:r>
        <w:rPr>
          <w:rFonts w:ascii="Constantia" w:hAnsi="Constantia" w:eastAsia="Constantia" w:cs="Constantia"/>
          <w:b/>
          <w:bCs/>
        </w:rPr>
        <w:t>3.1</w:t>
      </w:r>
      <w:r>
        <w:rPr>
          <w:rFonts w:ascii="Constantia" w:hAnsi="Constantia" w:eastAsia="Constantia" w:cs="Constantia"/>
          <w:b/>
          <w:bCs/>
          <w:spacing w:val="16"/>
        </w:rPr>
        <w:t xml:space="preserve"> </w:t>
      </w:r>
      <w:r>
        <w:rPr>
          <w:b/>
          <w:bCs/>
        </w:rPr>
        <w:t>依据标准</w:t>
      </w:r>
    </w:p>
    <w:p w14:paraId="7C50F39D">
      <w:pPr>
        <w:pStyle w:val="2"/>
        <w:spacing w:before="214" w:line="198" w:lineRule="auto"/>
        <w:ind w:left="432"/>
      </w:pPr>
      <w:r>
        <w:rPr>
          <w:rFonts w:ascii="Constantia" w:hAnsi="Constantia" w:eastAsia="Constantia" w:cs="Constantia"/>
          <w:b/>
          <w:bCs/>
          <w:spacing w:val="-2"/>
        </w:rPr>
        <w:t>GB</w:t>
      </w:r>
      <w:r>
        <w:rPr>
          <w:rFonts w:ascii="Constantia" w:hAnsi="Constantia" w:eastAsia="Constantia" w:cs="Constantia"/>
          <w:b/>
          <w:bCs/>
          <w:spacing w:val="44"/>
        </w:rPr>
        <w:t xml:space="preserve"> </w:t>
      </w:r>
      <w:r>
        <w:rPr>
          <w:rFonts w:ascii="Constantia" w:hAnsi="Constantia" w:eastAsia="Constantia" w:cs="Constantia"/>
          <w:b/>
          <w:bCs/>
          <w:spacing w:val="-2"/>
        </w:rPr>
        <w:t xml:space="preserve">15763.3—2009  </w:t>
      </w:r>
      <w:r>
        <w:rPr>
          <w:b/>
          <w:bCs/>
          <w:spacing w:val="-2"/>
        </w:rPr>
        <w:t>建筑用安全玻璃</w:t>
      </w:r>
      <w:r>
        <w:rPr>
          <w:spacing w:val="-2"/>
        </w:rPr>
        <w:t xml:space="preserve">  </w:t>
      </w:r>
      <w:r>
        <w:rPr>
          <w:b/>
          <w:bCs/>
          <w:spacing w:val="-2"/>
        </w:rPr>
        <w:t>第</w:t>
      </w:r>
      <w:r>
        <w:rPr>
          <w:spacing w:val="-44"/>
        </w:rPr>
        <w:t xml:space="preserve"> </w:t>
      </w:r>
      <w:r>
        <w:rPr>
          <w:rFonts w:ascii="Constantia" w:hAnsi="Constantia" w:eastAsia="Constantia" w:cs="Constantia"/>
          <w:b/>
          <w:bCs/>
          <w:spacing w:val="-2"/>
        </w:rPr>
        <w:t xml:space="preserve">3 </w:t>
      </w:r>
      <w:r>
        <w:rPr>
          <w:b/>
          <w:bCs/>
          <w:spacing w:val="-2"/>
        </w:rPr>
        <w:t>部分：夹层玻璃</w:t>
      </w:r>
    </w:p>
    <w:p w14:paraId="502EDE2C">
      <w:pPr>
        <w:pStyle w:val="2"/>
        <w:spacing w:before="217" w:line="292" w:lineRule="auto"/>
        <w:ind w:left="13" w:right="2391" w:firstLine="421"/>
        <w:outlineLvl w:val="1"/>
      </w:pPr>
      <w:r>
        <w:rPr>
          <w:b/>
          <w:bCs/>
          <w:spacing w:val="-3"/>
        </w:rPr>
        <w:t>现行有效的企业标准、团体标准、地方标准及产品明示质量要求</w:t>
      </w:r>
      <w:r>
        <w:rPr>
          <w:spacing w:val="15"/>
        </w:rPr>
        <w:t xml:space="preserve"> </w:t>
      </w:r>
      <w:r>
        <w:rPr>
          <w:rFonts w:ascii="Constantia" w:hAnsi="Constantia" w:eastAsia="Constantia" w:cs="Constantia"/>
          <w:b/>
          <w:bCs/>
          <w:spacing w:val="-3"/>
        </w:rPr>
        <w:t>3.2</w:t>
      </w:r>
      <w:r>
        <w:rPr>
          <w:rFonts w:ascii="Constantia" w:hAnsi="Constantia" w:eastAsia="Constantia" w:cs="Constantia"/>
          <w:b/>
          <w:bCs/>
          <w:spacing w:val="12"/>
          <w:w w:val="101"/>
        </w:rPr>
        <w:t xml:space="preserve"> </w:t>
      </w:r>
      <w:r>
        <w:rPr>
          <w:b/>
          <w:bCs/>
          <w:spacing w:val="-3"/>
        </w:rPr>
        <w:t>判定原则</w:t>
      </w:r>
    </w:p>
    <w:p w14:paraId="0DD44B01">
      <w:pPr>
        <w:pStyle w:val="2"/>
        <w:spacing w:before="214" w:line="198" w:lineRule="auto"/>
        <w:ind w:left="13"/>
        <w:outlineLvl w:val="2"/>
      </w:pPr>
      <w:r>
        <w:rPr>
          <w:rFonts w:ascii="Constantia" w:hAnsi="Constantia" w:eastAsia="Constantia" w:cs="Constantia"/>
          <w:b/>
          <w:bCs/>
          <w:spacing w:val="-1"/>
        </w:rPr>
        <w:t>3.2.1</w:t>
      </w:r>
      <w:r>
        <w:rPr>
          <w:rFonts w:ascii="Constantia" w:hAnsi="Constantia" w:eastAsia="Constantia" w:cs="Constantia"/>
          <w:b/>
          <w:bCs/>
          <w:spacing w:val="21"/>
        </w:rPr>
        <w:t xml:space="preserve"> </w:t>
      </w:r>
      <w:r>
        <w:rPr>
          <w:b/>
          <w:bCs/>
          <w:spacing w:val="-1"/>
        </w:rPr>
        <w:t>厚度偏差</w:t>
      </w:r>
    </w:p>
    <w:p w14:paraId="73F6CD90">
      <w:pPr>
        <w:pStyle w:val="2"/>
        <w:spacing w:before="216" w:line="292" w:lineRule="auto"/>
        <w:ind w:left="13" w:right="2055" w:firstLine="420"/>
      </w:pPr>
      <w:r>
        <w:rPr>
          <w:rFonts w:ascii="Constantia" w:hAnsi="Constantia" w:eastAsia="Constantia" w:cs="Constantia"/>
          <w:b/>
          <w:bCs/>
          <w:spacing w:val="-3"/>
        </w:rPr>
        <w:t xml:space="preserve">3 </w:t>
      </w:r>
      <w:r>
        <w:rPr>
          <w:b/>
          <w:bCs/>
          <w:spacing w:val="-3"/>
        </w:rPr>
        <w:t>块试样全部符合要求，判定为该项合格，否则判定为该项不合格。</w:t>
      </w:r>
      <w:r>
        <w:rPr>
          <w:spacing w:val="3"/>
        </w:rPr>
        <w:t xml:space="preserve"> </w:t>
      </w:r>
      <w:r>
        <w:rPr>
          <w:rFonts w:ascii="Constantia" w:hAnsi="Constantia" w:eastAsia="Constantia" w:cs="Constantia"/>
          <w:b/>
          <w:bCs/>
          <w:spacing w:val="-2"/>
        </w:rPr>
        <w:t xml:space="preserve">3.2.2 </w:t>
      </w:r>
      <w:r>
        <w:rPr>
          <w:b/>
          <w:bCs/>
          <w:spacing w:val="-2"/>
        </w:rPr>
        <w:t>耐热性、耐湿性、耐辐照性</w:t>
      </w:r>
    </w:p>
    <w:p w14:paraId="56606727">
      <w:pPr>
        <w:pStyle w:val="2"/>
        <w:spacing w:before="215" w:line="293" w:lineRule="auto"/>
        <w:ind w:left="13" w:right="77" w:firstLine="420"/>
      </w:pPr>
      <w:r>
        <w:rPr>
          <w:rFonts w:ascii="Constantia" w:hAnsi="Constantia" w:eastAsia="Constantia" w:cs="Constantia"/>
          <w:b/>
          <w:bCs/>
          <w:spacing w:val="-2"/>
        </w:rPr>
        <w:t>3</w:t>
      </w:r>
      <w:r>
        <w:rPr>
          <w:rFonts w:ascii="Constantia" w:hAnsi="Constantia" w:eastAsia="Constantia" w:cs="Constantia"/>
          <w:b/>
          <w:bCs/>
          <w:spacing w:val="44"/>
          <w:w w:val="101"/>
        </w:rPr>
        <w:t xml:space="preserve"> </w:t>
      </w:r>
      <w:r>
        <w:rPr>
          <w:b/>
          <w:bCs/>
          <w:spacing w:val="-2"/>
        </w:rPr>
        <w:t>块试样全部符合要求时为合格，</w:t>
      </w:r>
      <w:r>
        <w:rPr>
          <w:rFonts w:ascii="Constantia" w:hAnsi="Constantia" w:eastAsia="Constantia" w:cs="Constantia"/>
          <w:b/>
          <w:bCs/>
          <w:spacing w:val="-2"/>
        </w:rPr>
        <w:t>1</w:t>
      </w:r>
      <w:r>
        <w:rPr>
          <w:rFonts w:ascii="Constantia" w:hAnsi="Constantia" w:eastAsia="Constantia" w:cs="Constantia"/>
          <w:b/>
          <w:bCs/>
          <w:spacing w:val="44"/>
          <w:w w:val="101"/>
        </w:rPr>
        <w:t xml:space="preserve"> </w:t>
      </w:r>
      <w:r>
        <w:rPr>
          <w:b/>
          <w:bCs/>
          <w:spacing w:val="-2"/>
        </w:rPr>
        <w:t>块符合时</w:t>
      </w:r>
      <w:r>
        <w:rPr>
          <w:b/>
          <w:bCs/>
          <w:spacing w:val="-3"/>
        </w:rPr>
        <w:t>为不合格。当</w:t>
      </w:r>
      <w:r>
        <w:rPr>
          <w:spacing w:val="-3"/>
        </w:rPr>
        <w:t xml:space="preserve"> </w:t>
      </w:r>
      <w:r>
        <w:rPr>
          <w:rFonts w:ascii="Constantia" w:hAnsi="Constantia" w:eastAsia="Constantia" w:cs="Constantia"/>
          <w:b/>
          <w:bCs/>
          <w:spacing w:val="-3"/>
        </w:rPr>
        <w:t>2</w:t>
      </w:r>
      <w:r>
        <w:rPr>
          <w:rFonts w:ascii="Constantia" w:hAnsi="Constantia" w:eastAsia="Constantia" w:cs="Constantia"/>
          <w:b/>
          <w:bCs/>
          <w:spacing w:val="44"/>
          <w:w w:val="101"/>
        </w:rPr>
        <w:t xml:space="preserve"> </w:t>
      </w:r>
      <w:r>
        <w:rPr>
          <w:b/>
          <w:bCs/>
          <w:spacing w:val="-3"/>
        </w:rPr>
        <w:t>块试样符合要求时，追加</w:t>
      </w:r>
      <w:r>
        <w:rPr>
          <w:spacing w:val="-3"/>
        </w:rPr>
        <w:t xml:space="preserve"> </w:t>
      </w:r>
      <w:r>
        <w:rPr>
          <w:rFonts w:ascii="Constantia" w:hAnsi="Constantia" w:eastAsia="Constantia" w:cs="Constantia"/>
          <w:b/>
          <w:bCs/>
          <w:spacing w:val="-3"/>
        </w:rPr>
        <w:t>3</w:t>
      </w:r>
      <w:r>
        <w:rPr>
          <w:rFonts w:ascii="Constantia" w:hAnsi="Constantia" w:eastAsia="Constantia" w:cs="Constantia"/>
          <w:b/>
          <w:bCs/>
        </w:rPr>
        <w:t xml:space="preserve">  </w:t>
      </w:r>
      <w:r>
        <w:rPr>
          <w:b/>
          <w:bCs/>
          <w:spacing w:val="-2"/>
        </w:rPr>
        <w:t>块新试样重新进行试验，</w:t>
      </w:r>
      <w:r>
        <w:rPr>
          <w:rFonts w:ascii="Constantia" w:hAnsi="Constantia" w:eastAsia="Constantia" w:cs="Constantia"/>
          <w:b/>
          <w:bCs/>
          <w:spacing w:val="-2"/>
        </w:rPr>
        <w:t xml:space="preserve">3 </w:t>
      </w:r>
      <w:r>
        <w:rPr>
          <w:b/>
          <w:bCs/>
          <w:spacing w:val="-2"/>
        </w:rPr>
        <w:t>块全部符合要求时为合格。</w:t>
      </w:r>
    </w:p>
    <w:p w14:paraId="77E57007">
      <w:pPr>
        <w:pStyle w:val="2"/>
        <w:spacing w:before="214" w:line="198" w:lineRule="auto"/>
        <w:ind w:left="13"/>
        <w:outlineLvl w:val="2"/>
      </w:pPr>
      <w:r>
        <w:rPr>
          <w:rFonts w:ascii="Constantia" w:hAnsi="Constantia" w:eastAsia="Constantia" w:cs="Constantia"/>
          <w:b/>
          <w:bCs/>
          <w:spacing w:val="-1"/>
        </w:rPr>
        <w:t xml:space="preserve">3.2.3 </w:t>
      </w:r>
      <w:r>
        <w:rPr>
          <w:b/>
          <w:bCs/>
          <w:spacing w:val="-1"/>
        </w:rPr>
        <w:t>综合判定</w:t>
      </w:r>
    </w:p>
    <w:p w14:paraId="1C4BCCC8">
      <w:pPr>
        <w:spacing w:line="198" w:lineRule="auto"/>
        <w:sectPr>
          <w:footerReference r:id="rId5" w:type="default"/>
          <w:pgSz w:w="11907" w:h="16839"/>
          <w:pgMar w:top="1431" w:right="1566" w:bottom="1366" w:left="1639" w:header="0" w:footer="1195" w:gutter="0"/>
          <w:cols w:space="720" w:num="1"/>
        </w:sectPr>
      </w:pPr>
    </w:p>
    <w:p w14:paraId="0C277D09">
      <w:pPr>
        <w:spacing w:line="370" w:lineRule="auto"/>
        <w:rPr>
          <w:rFonts w:ascii="Arial"/>
          <w:sz w:val="21"/>
        </w:rPr>
      </w:pPr>
    </w:p>
    <w:p w14:paraId="29C584A5">
      <w:pPr>
        <w:pStyle w:val="2"/>
        <w:spacing w:before="68" w:line="373" w:lineRule="auto"/>
        <w:ind w:left="3" w:firstLine="415"/>
      </w:pPr>
      <w:r>
        <w:rPr>
          <w:b/>
          <w:bCs/>
          <w:spacing w:val="-2"/>
        </w:rPr>
        <w:t>经检验，检验项目全部合格，判定为被抽查产品所检项目未发现不合格；检验项</w:t>
      </w:r>
      <w:r>
        <w:rPr>
          <w:b/>
          <w:bCs/>
          <w:spacing w:val="-3"/>
        </w:rPr>
        <w:t>目中任一</w:t>
      </w:r>
      <w:r>
        <w:t xml:space="preserve"> </w:t>
      </w:r>
      <w:r>
        <w:rPr>
          <w:b/>
          <w:bCs/>
          <w:spacing w:val="-3"/>
        </w:rPr>
        <w:t>项或一项以上不合格，判定为被抽查产品不合格。</w:t>
      </w:r>
    </w:p>
    <w:p w14:paraId="31490724">
      <w:pPr>
        <w:pStyle w:val="2"/>
        <w:spacing w:before="30" w:line="375" w:lineRule="auto"/>
        <w:ind w:left="17" w:firstLine="403"/>
      </w:pPr>
      <w:r>
        <w:rPr>
          <w:b/>
          <w:bCs/>
          <w:spacing w:val="-2"/>
        </w:rPr>
        <w:t>若被检产品明示的质量要求高于本细则中检验项目依据的标准要求时，应按被</w:t>
      </w:r>
      <w:r>
        <w:rPr>
          <w:b/>
          <w:bCs/>
          <w:spacing w:val="-3"/>
        </w:rPr>
        <w:t>检产品明示</w:t>
      </w:r>
      <w:r>
        <w:t xml:space="preserve"> </w:t>
      </w:r>
      <w:r>
        <w:rPr>
          <w:b/>
          <w:bCs/>
          <w:spacing w:val="-5"/>
        </w:rPr>
        <w:t>的质量要求判定。</w:t>
      </w:r>
    </w:p>
    <w:p w14:paraId="576BAF00">
      <w:pPr>
        <w:pStyle w:val="2"/>
        <w:spacing w:before="27" w:line="373" w:lineRule="auto"/>
        <w:ind w:left="2" w:firstLine="418"/>
      </w:pPr>
      <w:r>
        <w:rPr>
          <w:b/>
          <w:bCs/>
          <w:spacing w:val="-2"/>
        </w:rPr>
        <w:t>若被检产品明示的质量要求低于本细则中检验项目依据的强制性标准要求时，</w:t>
      </w:r>
      <w:r>
        <w:rPr>
          <w:b/>
          <w:bCs/>
          <w:spacing w:val="-3"/>
        </w:rPr>
        <w:t>应按照强制</w:t>
      </w:r>
      <w:r>
        <w:t xml:space="preserve"> </w:t>
      </w:r>
      <w:r>
        <w:rPr>
          <w:b/>
          <w:bCs/>
          <w:spacing w:val="-4"/>
        </w:rPr>
        <w:t>性标准要求判定。</w:t>
      </w:r>
    </w:p>
    <w:p w14:paraId="03AD546D">
      <w:pPr>
        <w:pStyle w:val="2"/>
        <w:spacing w:before="31" w:line="373" w:lineRule="auto"/>
        <w:ind w:firstLine="420"/>
      </w:pPr>
      <w:r>
        <w:rPr>
          <w:b/>
          <w:bCs/>
          <w:spacing w:val="-2"/>
        </w:rPr>
        <w:t>若被检产品明示的质量要求低于或包含本细则中检验项目依据的推荐性标准要</w:t>
      </w:r>
      <w:r>
        <w:rPr>
          <w:b/>
          <w:bCs/>
          <w:spacing w:val="-3"/>
        </w:rPr>
        <w:t>求时，应以</w:t>
      </w:r>
      <w:r>
        <w:t xml:space="preserve"> </w:t>
      </w:r>
      <w:r>
        <w:rPr>
          <w:b/>
          <w:bCs/>
          <w:spacing w:val="-3"/>
        </w:rPr>
        <w:t>被检产品明示的质量要求判定。</w:t>
      </w:r>
    </w:p>
    <w:p w14:paraId="0C88A982">
      <w:pPr>
        <w:pStyle w:val="2"/>
        <w:spacing w:before="31" w:line="375" w:lineRule="auto"/>
        <w:ind w:left="2" w:firstLine="418"/>
      </w:pPr>
      <w:r>
        <w:rPr>
          <w:b/>
          <w:bCs/>
          <w:spacing w:val="-2"/>
        </w:rPr>
        <w:t>若被检产品明示的质量要求缺少本细则中检验项目依据的强制性标准要求时，</w:t>
      </w:r>
      <w:r>
        <w:rPr>
          <w:b/>
          <w:bCs/>
          <w:spacing w:val="-3"/>
        </w:rPr>
        <w:t>应按照强制</w:t>
      </w:r>
      <w:r>
        <w:t xml:space="preserve"> </w:t>
      </w:r>
      <w:r>
        <w:rPr>
          <w:b/>
          <w:bCs/>
          <w:spacing w:val="-4"/>
        </w:rPr>
        <w:t>性标准要求判定。</w:t>
      </w:r>
    </w:p>
    <w:p w14:paraId="2EF82F23">
      <w:pPr>
        <w:pStyle w:val="2"/>
        <w:spacing w:before="27" w:line="372" w:lineRule="auto"/>
        <w:ind w:left="4" w:firstLine="416"/>
      </w:pPr>
      <w:r>
        <w:rPr>
          <w:b/>
          <w:bCs/>
          <w:spacing w:val="-2"/>
        </w:rPr>
        <w:t>若被检产品明示的质量要求缺少本细则中检验项目依据的推荐性标准要求时，</w:t>
      </w:r>
      <w:r>
        <w:rPr>
          <w:b/>
          <w:bCs/>
          <w:spacing w:val="-3"/>
        </w:rPr>
        <w:t>该项目不参</w:t>
      </w:r>
      <w:r>
        <w:t xml:space="preserve"> </w:t>
      </w:r>
      <w:r>
        <w:rPr>
          <w:b/>
          <w:bCs/>
          <w:spacing w:val="-3"/>
        </w:rPr>
        <w:t>与判定，但应在检验报告备注中进行说明。</w:t>
      </w:r>
    </w:p>
    <w:sectPr>
      <w:footerReference r:id="rId6" w:type="default"/>
      <w:pgSz w:w="11907" w:h="16839"/>
      <w:pgMar w:top="1431" w:right="1639" w:bottom="1160" w:left="1652" w:header="0" w:footer="98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tantia">
    <w:panose1 w:val="02030602050306030303"/>
    <w:charset w:val="00"/>
    <w:family w:val="auto"/>
    <w:pitch w:val="default"/>
    <w:sig w:usb0="A00002EF" w:usb1="4000204B"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05F23">
    <w:pPr>
      <w:spacing w:line="176" w:lineRule="auto"/>
      <w:ind w:left="4288"/>
      <w:rPr>
        <w:rFonts w:ascii="Constantia" w:hAnsi="Constantia" w:eastAsia="Constantia" w:cs="Constantia"/>
        <w:sz w:val="18"/>
        <w:szCs w:val="18"/>
      </w:rPr>
    </w:pPr>
    <w:r>
      <w:rPr>
        <w:rFonts w:ascii="Constantia" w:hAnsi="Constantia" w:eastAsia="Constantia" w:cs="Constantia"/>
        <w:b/>
        <w:bCs/>
        <w:spacing w:val="3"/>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101CE">
    <w:pPr>
      <w:spacing w:line="176" w:lineRule="auto"/>
      <w:ind w:left="4257"/>
      <w:rPr>
        <w:rFonts w:ascii="Constantia" w:hAnsi="Constantia" w:eastAsia="Constantia" w:cs="Constantia"/>
        <w:sz w:val="18"/>
        <w:szCs w:val="18"/>
      </w:rPr>
    </w:pPr>
    <w:r>
      <w:rPr>
        <w:rFonts w:ascii="Constantia" w:hAnsi="Constantia" w:eastAsia="Constantia" w:cs="Constantia"/>
        <w:b/>
        <w:bCs/>
        <w:sz w:val="18"/>
        <w:szCs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CBE1A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Constantia" w:hAnsi="Constantia" w:eastAsia="Constantia" w:cs="Constantia"/>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795</Words>
  <Characters>924</Characters>
  <TotalTime>0</TotalTime>
  <ScaleCrop>false</ScaleCrop>
  <LinksUpToDate>false</LinksUpToDate>
  <CharactersWithSpaces>973</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2025-03-07T14:59:00Z</dcterms:created>
  <dc:creator>Administrator</dc:creator>
  <cp:lastModifiedBy>WPS_1645145261</cp:lastModifiedBy>
  <dcterms:modified xsi:type="dcterms:W3CDTF">2025-05-01T08:20:27Z</dcterms:modified>
  <dc:title>Microsoft Word - V_x0017__x0001_úQ(9B»…§Á(ÏÑc½åž½Æˇ_x0008_2025tH	.doc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2025-05-01T16:20:21Z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D207D74B72854A87AB967484A4193CB6_12</vt:lpwstr>
  </property>
</Properties>
</file>