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CA55A">
      <w:pPr>
        <w:spacing w:line="272" w:lineRule="auto"/>
        <w:rPr>
          <w:rFonts w:ascii="Arial"/>
          <w:sz w:val="21"/>
        </w:rPr>
      </w:pPr>
    </w:p>
    <w:p w14:paraId="108310CD">
      <w:pPr>
        <w:spacing w:line="273" w:lineRule="auto"/>
        <w:rPr>
          <w:rFonts w:ascii="Arial"/>
          <w:sz w:val="21"/>
        </w:rPr>
      </w:pPr>
    </w:p>
    <w:p w14:paraId="0FADFDBA">
      <w:pPr>
        <w:spacing w:before="133" w:line="181" w:lineRule="auto"/>
        <w:ind w:left="453"/>
        <w:outlineLvl w:val="0"/>
        <w:rPr>
          <w:rFonts w:ascii="微软雅黑" w:hAnsi="微软雅黑" w:eastAsia="微软雅黑" w:cs="微软雅黑"/>
          <w:sz w:val="31"/>
          <w:szCs w:val="31"/>
        </w:rPr>
      </w:pPr>
      <w:r>
        <w:rPr>
          <w:rFonts w:hint="eastAsia" w:ascii="微软雅黑" w:hAnsi="微软雅黑" w:eastAsia="微软雅黑" w:cs="微软雅黑"/>
          <w:b/>
          <w:bCs/>
          <w:spacing w:val="9"/>
          <w:sz w:val="31"/>
          <w:szCs w:val="31"/>
          <w:lang w:val="en-US" w:eastAsia="zh-CN"/>
        </w:rPr>
        <w:t>通城县</w:t>
      </w:r>
      <w:bookmarkStart w:id="0" w:name="_GoBack"/>
      <w:bookmarkEnd w:id="0"/>
      <w:r>
        <w:rPr>
          <w:rFonts w:ascii="微软雅黑" w:hAnsi="微软雅黑" w:eastAsia="微软雅黑" w:cs="微软雅黑"/>
          <w:b/>
          <w:bCs/>
          <w:spacing w:val="9"/>
          <w:sz w:val="31"/>
          <w:szCs w:val="31"/>
        </w:rPr>
        <w:t>给水用钢丝网增强聚乙烯复合管道产品质量监督</w:t>
      </w:r>
      <w:r>
        <w:rPr>
          <w:rFonts w:ascii="微软雅黑" w:hAnsi="微软雅黑" w:eastAsia="微软雅黑" w:cs="微软雅黑"/>
          <w:b/>
          <w:bCs/>
          <w:spacing w:val="8"/>
          <w:sz w:val="31"/>
          <w:szCs w:val="31"/>
        </w:rPr>
        <w:t>抽查</w:t>
      </w:r>
    </w:p>
    <w:p w14:paraId="794170C0">
      <w:pPr>
        <w:spacing w:before="159" w:line="194" w:lineRule="auto"/>
        <w:ind w:left="2972"/>
        <w:outlineLvl w:val="0"/>
        <w:rPr>
          <w:rFonts w:ascii="微软雅黑" w:hAnsi="微软雅黑" w:eastAsia="微软雅黑" w:cs="微软雅黑"/>
          <w:sz w:val="31"/>
          <w:szCs w:val="31"/>
        </w:rPr>
      </w:pPr>
      <w:r>
        <w:rPr>
          <w:rFonts w:ascii="微软雅黑" w:hAnsi="微软雅黑" w:eastAsia="微软雅黑" w:cs="微软雅黑"/>
          <w:b/>
          <w:bCs/>
          <w:spacing w:val="6"/>
          <w:sz w:val="31"/>
          <w:szCs w:val="31"/>
        </w:rPr>
        <w:t>实施细则（</w:t>
      </w:r>
      <w:r>
        <w:rPr>
          <w:rFonts w:ascii="Times New Roman" w:hAnsi="Times New Roman" w:eastAsia="Times New Roman" w:cs="Times New Roman"/>
          <w:b/>
          <w:bCs/>
          <w:spacing w:val="6"/>
          <w:sz w:val="31"/>
          <w:szCs w:val="31"/>
        </w:rPr>
        <w:t>2025</w:t>
      </w:r>
      <w:r>
        <w:rPr>
          <w:rFonts w:ascii="Times New Roman" w:hAnsi="Times New Roman" w:eastAsia="Times New Roman" w:cs="Times New Roman"/>
          <w:b/>
          <w:bCs/>
          <w:spacing w:val="38"/>
          <w:sz w:val="31"/>
          <w:szCs w:val="31"/>
        </w:rPr>
        <w:t xml:space="preserve"> </w:t>
      </w:r>
      <w:r>
        <w:rPr>
          <w:rFonts w:ascii="微软雅黑" w:hAnsi="微软雅黑" w:eastAsia="微软雅黑" w:cs="微软雅黑"/>
          <w:b/>
          <w:bCs/>
          <w:spacing w:val="6"/>
          <w:sz w:val="31"/>
          <w:szCs w:val="31"/>
        </w:rPr>
        <w:t>年版）</w:t>
      </w:r>
    </w:p>
    <w:p w14:paraId="231AEC95">
      <w:pPr>
        <w:spacing w:line="268" w:lineRule="auto"/>
        <w:rPr>
          <w:rFonts w:ascii="Arial"/>
          <w:sz w:val="21"/>
        </w:rPr>
      </w:pPr>
    </w:p>
    <w:p w14:paraId="4BFE3A24">
      <w:pPr>
        <w:spacing w:line="268" w:lineRule="auto"/>
        <w:rPr>
          <w:rFonts w:ascii="Arial"/>
          <w:sz w:val="21"/>
        </w:rPr>
      </w:pPr>
    </w:p>
    <w:p w14:paraId="05096CFE">
      <w:pPr>
        <w:pStyle w:val="2"/>
        <w:spacing w:before="68" w:line="220" w:lineRule="auto"/>
        <w:ind w:left="137"/>
        <w:outlineLvl w:val="0"/>
      </w:pPr>
      <w:r>
        <w:rPr>
          <w:rFonts w:ascii="Times New Roman" w:hAnsi="Times New Roman" w:eastAsia="Times New Roman" w:cs="Times New Roman"/>
          <w:b/>
          <w:bCs/>
          <w:spacing w:val="-8"/>
        </w:rPr>
        <w:t>1</w:t>
      </w:r>
      <w:r>
        <w:rPr>
          <w:rFonts w:ascii="Times New Roman" w:hAnsi="Times New Roman" w:eastAsia="Times New Roman" w:cs="Times New Roman"/>
          <w:b/>
          <w:bCs/>
          <w:spacing w:val="4"/>
        </w:rPr>
        <w:t xml:space="preserve">  </w:t>
      </w:r>
      <w:r>
        <w:rPr>
          <w:b/>
          <w:bCs/>
          <w:spacing w:val="-8"/>
        </w:rPr>
        <w:t>抽样方法</w:t>
      </w:r>
    </w:p>
    <w:p w14:paraId="2D99C3D2">
      <w:pPr>
        <w:pStyle w:val="2"/>
        <w:spacing w:before="189" w:line="374" w:lineRule="auto"/>
        <w:ind w:left="552" w:right="2798"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648C7FB5">
      <w:pPr>
        <w:pStyle w:val="2"/>
        <w:spacing w:before="28" w:line="373" w:lineRule="auto"/>
        <w:ind w:left="121" w:right="110" w:firstLine="418"/>
      </w:pPr>
      <w:r>
        <w:rPr>
          <w:b/>
          <w:bCs/>
          <w:spacing w:val="-4"/>
        </w:rPr>
        <w:t>对非饮用水管取样时，在同一批次的产品中抽取</w:t>
      </w:r>
      <w:r>
        <w:rPr>
          <w:spacing w:val="-42"/>
        </w:rPr>
        <w:t xml:space="preserve"> </w:t>
      </w:r>
      <w:r>
        <w:rPr>
          <w:rFonts w:ascii="Times New Roman" w:hAnsi="Times New Roman" w:eastAsia="Times New Roman" w:cs="Times New Roman"/>
          <w:b/>
          <w:bCs/>
          <w:spacing w:val="-4"/>
        </w:rPr>
        <w:t xml:space="preserve">4 </w:t>
      </w:r>
      <w:r>
        <w:rPr>
          <w:b/>
          <w:bCs/>
          <w:spacing w:val="-4"/>
        </w:rPr>
        <w:t>根，每根截取</w:t>
      </w:r>
      <w:r>
        <w:rPr>
          <w:spacing w:val="-42"/>
        </w:rPr>
        <w:t xml:space="preserve"> </w:t>
      </w:r>
      <w:r>
        <w:rPr>
          <w:rFonts w:ascii="Times New Roman" w:hAnsi="Times New Roman" w:eastAsia="Times New Roman" w:cs="Times New Roman"/>
          <w:b/>
          <w:bCs/>
          <w:spacing w:val="-4"/>
        </w:rPr>
        <w:t xml:space="preserve">5 </w:t>
      </w:r>
      <w:r>
        <w:rPr>
          <w:b/>
          <w:bCs/>
          <w:spacing w:val="-4"/>
        </w:rPr>
        <w:t>段，每段</w:t>
      </w:r>
      <w:r>
        <w:rPr>
          <w:spacing w:val="-31"/>
        </w:rPr>
        <w:t xml:space="preserve"> </w:t>
      </w:r>
      <w:r>
        <w:rPr>
          <w:rFonts w:ascii="Times New Roman" w:hAnsi="Times New Roman" w:eastAsia="Times New Roman" w:cs="Times New Roman"/>
          <w:b/>
          <w:bCs/>
          <w:spacing w:val="-4"/>
        </w:rPr>
        <w:t>1</w:t>
      </w:r>
      <w:r>
        <w:rPr>
          <w:rFonts w:ascii="Times New Roman" w:hAnsi="Times New Roman" w:eastAsia="Times New Roman" w:cs="Times New Roman"/>
          <w:b/>
          <w:bCs/>
          <w:spacing w:val="28"/>
        </w:rPr>
        <w:t xml:space="preserve"> </w:t>
      </w:r>
      <w:r>
        <w:rPr>
          <w:rFonts w:ascii="Times New Roman" w:hAnsi="Times New Roman" w:eastAsia="Times New Roman" w:cs="Times New Roman"/>
          <w:b/>
          <w:bCs/>
          <w:spacing w:val="-4"/>
        </w:rPr>
        <w:t>m</w:t>
      </w:r>
      <w:r>
        <w:rPr>
          <w:rFonts w:ascii="Times New Roman" w:hAnsi="Times New Roman" w:eastAsia="Times New Roman" w:cs="Times New Roman"/>
          <w:b/>
          <w:bCs/>
          <w:spacing w:val="-29"/>
        </w:rPr>
        <w:t xml:space="preserve"> </w:t>
      </w:r>
      <w:r>
        <w:rPr>
          <w:b/>
          <w:bCs/>
          <w:spacing w:val="-4"/>
        </w:rPr>
        <w:t>；每根中的</w:t>
      </w:r>
      <w:r>
        <w:rPr>
          <w:spacing w:val="-44"/>
        </w:rPr>
        <w:t xml:space="preserve"> </w:t>
      </w:r>
      <w:r>
        <w:rPr>
          <w:rFonts w:ascii="Times New Roman" w:hAnsi="Times New Roman" w:eastAsia="Times New Roman" w:cs="Times New Roman"/>
          <w:b/>
          <w:bCs/>
          <w:spacing w:val="-4"/>
        </w:rPr>
        <w:t>3</w:t>
      </w:r>
      <w:r>
        <w:rPr>
          <w:rFonts w:ascii="Times New Roman" w:hAnsi="Times New Roman" w:eastAsia="Times New Roman" w:cs="Times New Roman"/>
          <w:b/>
          <w:bCs/>
        </w:rPr>
        <w:t xml:space="preserve">  </w:t>
      </w:r>
      <w:r>
        <w:rPr>
          <w:b/>
          <w:bCs/>
          <w:spacing w:val="-3"/>
        </w:rPr>
        <w:t>段作为检验样品，</w:t>
      </w:r>
      <w:r>
        <w:rPr>
          <w:rFonts w:ascii="Times New Roman" w:hAnsi="Times New Roman" w:eastAsia="Times New Roman" w:cs="Times New Roman"/>
          <w:b/>
          <w:bCs/>
          <w:spacing w:val="-3"/>
        </w:rPr>
        <w:t xml:space="preserve">2 </w:t>
      </w:r>
      <w:r>
        <w:rPr>
          <w:b/>
          <w:bCs/>
          <w:spacing w:val="-3"/>
        </w:rPr>
        <w:t>段作为备用样品。</w:t>
      </w:r>
    </w:p>
    <w:p w14:paraId="3D56FEA2">
      <w:pPr>
        <w:pStyle w:val="2"/>
        <w:spacing w:before="32" w:line="373" w:lineRule="auto"/>
        <w:ind w:left="121" w:right="110" w:firstLine="418"/>
      </w:pPr>
      <w:r>
        <w:rPr>
          <w:b/>
          <w:bCs/>
          <w:spacing w:val="-4"/>
        </w:rPr>
        <w:t>对饮用水管取样时，在同一批次的产品中抽取</w:t>
      </w:r>
      <w:r>
        <w:rPr>
          <w:spacing w:val="-42"/>
        </w:rPr>
        <w:t xml:space="preserve"> </w:t>
      </w:r>
      <w:r>
        <w:rPr>
          <w:rFonts w:ascii="Times New Roman" w:hAnsi="Times New Roman" w:eastAsia="Times New Roman" w:cs="Times New Roman"/>
          <w:b/>
          <w:bCs/>
          <w:spacing w:val="-4"/>
        </w:rPr>
        <w:t xml:space="preserve">5 </w:t>
      </w:r>
      <w:r>
        <w:rPr>
          <w:b/>
          <w:bCs/>
          <w:spacing w:val="-4"/>
        </w:rPr>
        <w:t>根，每根截取</w:t>
      </w:r>
      <w:r>
        <w:rPr>
          <w:spacing w:val="-44"/>
        </w:rPr>
        <w:t xml:space="preserve"> </w:t>
      </w:r>
      <w:r>
        <w:rPr>
          <w:rFonts w:ascii="Times New Roman" w:hAnsi="Times New Roman" w:eastAsia="Times New Roman" w:cs="Times New Roman"/>
          <w:b/>
          <w:bCs/>
          <w:spacing w:val="-4"/>
        </w:rPr>
        <w:t xml:space="preserve">5 </w:t>
      </w:r>
      <w:r>
        <w:rPr>
          <w:b/>
          <w:bCs/>
          <w:spacing w:val="-4"/>
        </w:rPr>
        <w:t>段，</w:t>
      </w:r>
      <w:r>
        <w:rPr>
          <w:b/>
          <w:bCs/>
          <w:spacing w:val="-5"/>
        </w:rPr>
        <w:t>每段</w:t>
      </w:r>
      <w:r>
        <w:rPr>
          <w:spacing w:val="-29"/>
        </w:rPr>
        <w:t xml:space="preserve"> </w:t>
      </w:r>
      <w:r>
        <w:rPr>
          <w:rFonts w:ascii="Times New Roman" w:hAnsi="Times New Roman" w:eastAsia="Times New Roman" w:cs="Times New Roman"/>
          <w:b/>
          <w:bCs/>
          <w:spacing w:val="-5"/>
        </w:rPr>
        <w:t>1 m</w:t>
      </w:r>
      <w:r>
        <w:rPr>
          <w:rFonts w:ascii="Times New Roman" w:hAnsi="Times New Roman" w:eastAsia="Times New Roman" w:cs="Times New Roman"/>
          <w:b/>
          <w:bCs/>
          <w:spacing w:val="-29"/>
        </w:rPr>
        <w:t xml:space="preserve"> </w:t>
      </w:r>
      <w:r>
        <w:rPr>
          <w:b/>
          <w:bCs/>
          <w:spacing w:val="-5"/>
        </w:rPr>
        <w:t>；每根中的</w:t>
      </w:r>
      <w:r>
        <w:rPr>
          <w:spacing w:val="-47"/>
        </w:rPr>
        <w:t xml:space="preserve"> </w:t>
      </w:r>
      <w:r>
        <w:rPr>
          <w:rFonts w:ascii="Times New Roman" w:hAnsi="Times New Roman" w:eastAsia="Times New Roman" w:cs="Times New Roman"/>
          <w:b/>
          <w:bCs/>
          <w:spacing w:val="-5"/>
        </w:rPr>
        <w:t xml:space="preserve">3 </w:t>
      </w:r>
      <w:r>
        <w:rPr>
          <w:b/>
          <w:bCs/>
          <w:spacing w:val="-5"/>
        </w:rPr>
        <w:t>段</w:t>
      </w:r>
      <w:r>
        <w:t xml:space="preserve"> </w:t>
      </w:r>
      <w:r>
        <w:rPr>
          <w:b/>
          <w:bCs/>
          <w:spacing w:val="-3"/>
        </w:rPr>
        <w:t>作为检验样品，</w:t>
      </w:r>
      <w:r>
        <w:rPr>
          <w:rFonts w:ascii="Times New Roman" w:hAnsi="Times New Roman" w:eastAsia="Times New Roman" w:cs="Times New Roman"/>
          <w:b/>
          <w:bCs/>
          <w:spacing w:val="-3"/>
        </w:rPr>
        <w:t xml:space="preserve">2 </w:t>
      </w:r>
      <w:r>
        <w:rPr>
          <w:b/>
          <w:bCs/>
          <w:spacing w:val="-3"/>
        </w:rPr>
        <w:t>段作为备用样品。</w:t>
      </w:r>
    </w:p>
    <w:p w14:paraId="1F32EEE4">
      <w:pPr>
        <w:pStyle w:val="2"/>
        <w:spacing w:before="32" w:line="375" w:lineRule="auto"/>
        <w:ind w:left="121" w:right="110" w:firstLine="423"/>
      </w:pPr>
      <w:r>
        <w:rPr>
          <w:b/>
          <w:bCs/>
          <w:spacing w:val="-4"/>
        </w:rPr>
        <w:t>如每根管材的长度不足以截取</w:t>
      </w:r>
      <w:r>
        <w:rPr>
          <w:spacing w:val="-41"/>
        </w:rPr>
        <w:t xml:space="preserve"> </w:t>
      </w:r>
      <w:r>
        <w:rPr>
          <w:rFonts w:ascii="Times New Roman" w:hAnsi="Times New Roman" w:eastAsia="Times New Roman" w:cs="Times New Roman"/>
          <w:b/>
          <w:bCs/>
          <w:spacing w:val="-4"/>
        </w:rPr>
        <w:t xml:space="preserve">5 </w:t>
      </w:r>
      <w:r>
        <w:rPr>
          <w:b/>
          <w:bCs/>
          <w:spacing w:val="-4"/>
        </w:rPr>
        <w:t>段时，应增加抽取管材的根数，</w:t>
      </w:r>
      <w:r>
        <w:rPr>
          <w:b/>
          <w:bCs/>
          <w:spacing w:val="-5"/>
        </w:rPr>
        <w:t>使最终截取的总段数不少于上</w:t>
      </w:r>
      <w:r>
        <w:t xml:space="preserve"> </w:t>
      </w:r>
      <w:r>
        <w:rPr>
          <w:b/>
          <w:bCs/>
          <w:spacing w:val="-4"/>
        </w:rPr>
        <w:t>述要求。</w:t>
      </w:r>
    </w:p>
    <w:p w14:paraId="78EFD627">
      <w:pPr>
        <w:pStyle w:val="2"/>
        <w:spacing w:before="26" w:line="220" w:lineRule="auto"/>
        <w:ind w:left="117"/>
        <w:outlineLvl w:val="0"/>
      </w:pPr>
      <w:r>
        <w:rPr>
          <w:rFonts w:ascii="Times New Roman" w:hAnsi="Times New Roman" w:eastAsia="Times New Roman" w:cs="Times New Roman"/>
          <w:b/>
          <w:bCs/>
          <w:spacing w:val="-2"/>
        </w:rPr>
        <w:t xml:space="preserve">2  </w:t>
      </w:r>
      <w:r>
        <w:rPr>
          <w:b/>
          <w:bCs/>
          <w:spacing w:val="-2"/>
        </w:rPr>
        <w:t>检验依据</w:t>
      </w:r>
    </w:p>
    <w:p w14:paraId="49734C6B">
      <w:pPr>
        <w:spacing w:before="218"/>
      </w:pPr>
    </w:p>
    <w:tbl>
      <w:tblPr>
        <w:tblStyle w:val="5"/>
        <w:tblW w:w="917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4"/>
        <w:gridCol w:w="3023"/>
        <w:gridCol w:w="2771"/>
        <w:gridCol w:w="2776"/>
      </w:tblGrid>
      <w:tr w14:paraId="3AD92D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604" w:type="dxa"/>
            <w:tcBorders>
              <w:left w:val="single" w:color="000000" w:sz="6" w:space="0"/>
              <w:right w:val="single" w:color="000000" w:sz="8" w:space="0"/>
            </w:tcBorders>
            <w:textDirection w:val="tbRlV"/>
            <w:vAlign w:val="top"/>
          </w:tcPr>
          <w:p w14:paraId="0AF239EB">
            <w:pPr>
              <w:spacing w:before="191" w:line="210" w:lineRule="auto"/>
              <w:ind w:left="142"/>
              <w:rPr>
                <w:rFonts w:ascii="宋体" w:hAnsi="宋体" w:eastAsia="宋体" w:cs="宋体"/>
                <w:sz w:val="21"/>
                <w:szCs w:val="21"/>
              </w:rPr>
            </w:pPr>
            <w:r>
              <w:rPr>
                <w:rFonts w:ascii="宋体" w:hAnsi="宋体" w:eastAsia="宋体" w:cs="宋体"/>
                <w:b/>
                <w:bCs/>
                <w:spacing w:val="-2"/>
                <w:sz w:val="21"/>
                <w:szCs w:val="21"/>
              </w:rPr>
              <w:t>序</w:t>
            </w:r>
            <w:r>
              <w:rPr>
                <w:rFonts w:ascii="宋体" w:hAnsi="宋体" w:eastAsia="宋体" w:cs="宋体"/>
                <w:spacing w:val="85"/>
                <w:sz w:val="21"/>
                <w:szCs w:val="21"/>
              </w:rPr>
              <w:t xml:space="preserve"> </w:t>
            </w:r>
            <w:r>
              <w:rPr>
                <w:rFonts w:ascii="宋体" w:hAnsi="宋体" w:eastAsia="宋体" w:cs="宋体"/>
                <w:b/>
                <w:bCs/>
                <w:spacing w:val="-2"/>
                <w:sz w:val="21"/>
                <w:szCs w:val="21"/>
              </w:rPr>
              <w:t>号</w:t>
            </w:r>
          </w:p>
        </w:tc>
        <w:tc>
          <w:tcPr>
            <w:tcW w:w="3023" w:type="dxa"/>
            <w:tcBorders>
              <w:left w:val="single" w:color="000000" w:sz="8" w:space="0"/>
              <w:right w:val="single" w:color="000000" w:sz="8" w:space="0"/>
            </w:tcBorders>
            <w:vAlign w:val="top"/>
          </w:tcPr>
          <w:p w14:paraId="3741CEFA">
            <w:pPr>
              <w:spacing w:line="272" w:lineRule="auto"/>
              <w:rPr>
                <w:rFonts w:ascii="Arial"/>
                <w:sz w:val="21"/>
              </w:rPr>
            </w:pPr>
          </w:p>
          <w:p w14:paraId="3223BA0A">
            <w:pPr>
              <w:spacing w:before="68" w:line="220" w:lineRule="auto"/>
              <w:ind w:left="1083"/>
              <w:rPr>
                <w:rFonts w:ascii="宋体" w:hAnsi="宋体" w:eastAsia="宋体" w:cs="宋体"/>
                <w:sz w:val="21"/>
                <w:szCs w:val="21"/>
              </w:rPr>
            </w:pPr>
            <w:r>
              <w:rPr>
                <w:rFonts w:ascii="宋体" w:hAnsi="宋体" w:eastAsia="宋体" w:cs="宋体"/>
                <w:b/>
                <w:bCs/>
                <w:spacing w:val="-4"/>
                <w:sz w:val="21"/>
                <w:szCs w:val="21"/>
              </w:rPr>
              <w:t>检验项目</w:t>
            </w:r>
          </w:p>
        </w:tc>
        <w:tc>
          <w:tcPr>
            <w:tcW w:w="2771" w:type="dxa"/>
            <w:tcBorders>
              <w:left w:val="single" w:color="000000" w:sz="8" w:space="0"/>
              <w:right w:val="single" w:color="000000" w:sz="8" w:space="0"/>
            </w:tcBorders>
            <w:vAlign w:val="top"/>
          </w:tcPr>
          <w:p w14:paraId="6B437B6D">
            <w:pPr>
              <w:spacing w:line="271" w:lineRule="auto"/>
              <w:rPr>
                <w:rFonts w:ascii="Arial"/>
                <w:sz w:val="21"/>
              </w:rPr>
            </w:pPr>
          </w:p>
          <w:p w14:paraId="4B7A5D18">
            <w:pPr>
              <w:spacing w:before="68" w:line="220" w:lineRule="auto"/>
              <w:ind w:left="962"/>
              <w:rPr>
                <w:rFonts w:ascii="宋体" w:hAnsi="宋体" w:eastAsia="宋体" w:cs="宋体"/>
                <w:sz w:val="21"/>
                <w:szCs w:val="21"/>
              </w:rPr>
            </w:pPr>
            <w:r>
              <w:rPr>
                <w:rFonts w:ascii="宋体" w:hAnsi="宋体" w:eastAsia="宋体" w:cs="宋体"/>
                <w:b/>
                <w:bCs/>
                <w:spacing w:val="-4"/>
                <w:sz w:val="21"/>
                <w:szCs w:val="21"/>
              </w:rPr>
              <w:t>检验依据</w:t>
            </w:r>
          </w:p>
        </w:tc>
        <w:tc>
          <w:tcPr>
            <w:tcW w:w="2776" w:type="dxa"/>
            <w:tcBorders>
              <w:left w:val="single" w:color="000000" w:sz="8" w:space="0"/>
              <w:bottom w:val="single" w:color="000000" w:sz="6" w:space="0"/>
            </w:tcBorders>
            <w:vAlign w:val="top"/>
          </w:tcPr>
          <w:p w14:paraId="71D5AB19">
            <w:pPr>
              <w:spacing w:line="272" w:lineRule="auto"/>
              <w:rPr>
                <w:rFonts w:ascii="Arial"/>
                <w:sz w:val="21"/>
              </w:rPr>
            </w:pPr>
          </w:p>
          <w:p w14:paraId="6C9A2D31">
            <w:pPr>
              <w:spacing w:before="68" w:line="220" w:lineRule="auto"/>
              <w:ind w:left="965"/>
              <w:rPr>
                <w:rFonts w:ascii="宋体" w:hAnsi="宋体" w:eastAsia="宋体" w:cs="宋体"/>
                <w:sz w:val="21"/>
                <w:szCs w:val="21"/>
              </w:rPr>
            </w:pPr>
            <w:r>
              <w:rPr>
                <w:rFonts w:ascii="宋体" w:hAnsi="宋体" w:eastAsia="宋体" w:cs="宋体"/>
                <w:b/>
                <w:bCs/>
                <w:spacing w:val="-4"/>
                <w:sz w:val="21"/>
                <w:szCs w:val="21"/>
              </w:rPr>
              <w:t>检验方法</w:t>
            </w:r>
          </w:p>
        </w:tc>
      </w:tr>
      <w:tr w14:paraId="68324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604" w:type="dxa"/>
            <w:tcBorders>
              <w:left w:val="single" w:color="000000" w:sz="6" w:space="0"/>
              <w:right w:val="single" w:color="000000" w:sz="8" w:space="0"/>
            </w:tcBorders>
            <w:vAlign w:val="top"/>
          </w:tcPr>
          <w:p w14:paraId="46DEFFAB">
            <w:pPr>
              <w:spacing w:line="258" w:lineRule="auto"/>
              <w:rPr>
                <w:rFonts w:ascii="Arial"/>
                <w:sz w:val="21"/>
              </w:rPr>
            </w:pPr>
          </w:p>
          <w:p w14:paraId="5927F7D6">
            <w:pPr>
              <w:pStyle w:val="6"/>
              <w:spacing w:before="61" w:line="189" w:lineRule="auto"/>
              <w:ind w:left="261"/>
            </w:pPr>
            <w:r>
              <w:rPr>
                <w:b/>
                <w:bCs/>
              </w:rPr>
              <w:t>1</w:t>
            </w:r>
          </w:p>
        </w:tc>
        <w:tc>
          <w:tcPr>
            <w:tcW w:w="3023" w:type="dxa"/>
            <w:tcBorders>
              <w:left w:val="single" w:color="000000" w:sz="8" w:space="0"/>
              <w:right w:val="single" w:color="000000" w:sz="8" w:space="0"/>
            </w:tcBorders>
            <w:vAlign w:val="top"/>
          </w:tcPr>
          <w:p w14:paraId="6AC50259">
            <w:pPr>
              <w:spacing w:before="127" w:line="289" w:lineRule="auto"/>
              <w:ind w:left="141" w:right="140" w:hanging="3"/>
              <w:rPr>
                <w:rFonts w:ascii="宋体" w:hAnsi="宋体" w:eastAsia="宋体" w:cs="宋体"/>
                <w:sz w:val="21"/>
                <w:szCs w:val="21"/>
              </w:rPr>
            </w:pPr>
            <w:r>
              <w:rPr>
                <w:rFonts w:ascii="宋体" w:hAnsi="宋体" w:eastAsia="宋体" w:cs="宋体"/>
                <w:b/>
                <w:bCs/>
                <w:spacing w:val="-3"/>
                <w:sz w:val="21"/>
                <w:szCs w:val="21"/>
              </w:rPr>
              <w:t>规格尺寸（平均外径、聚乙烯</w:t>
            </w:r>
            <w:r>
              <w:rPr>
                <w:rFonts w:ascii="宋体" w:hAnsi="宋体" w:eastAsia="宋体" w:cs="宋体"/>
                <w:spacing w:val="3"/>
                <w:sz w:val="21"/>
                <w:szCs w:val="21"/>
              </w:rPr>
              <w:t xml:space="preserve"> </w:t>
            </w:r>
            <w:r>
              <w:rPr>
                <w:rFonts w:ascii="宋体" w:hAnsi="宋体" w:eastAsia="宋体" w:cs="宋体"/>
                <w:b/>
                <w:bCs/>
                <w:spacing w:val="-4"/>
                <w:sz w:val="21"/>
                <w:szCs w:val="21"/>
              </w:rPr>
              <w:t>外层最小壁厚、任一点壁厚）</w:t>
            </w:r>
          </w:p>
        </w:tc>
        <w:tc>
          <w:tcPr>
            <w:tcW w:w="2771" w:type="dxa"/>
            <w:tcBorders>
              <w:left w:val="single" w:color="000000" w:sz="8" w:space="0"/>
              <w:right w:val="single" w:color="000000" w:sz="8" w:space="0"/>
            </w:tcBorders>
            <w:vAlign w:val="top"/>
          </w:tcPr>
          <w:p w14:paraId="79800D1A">
            <w:pPr>
              <w:spacing w:line="299" w:lineRule="auto"/>
              <w:rPr>
                <w:rFonts w:ascii="Arial"/>
                <w:sz w:val="21"/>
              </w:rPr>
            </w:pPr>
          </w:p>
          <w:p w14:paraId="6041E80B">
            <w:pPr>
              <w:pStyle w:val="6"/>
              <w:spacing w:before="61" w:line="193" w:lineRule="auto"/>
              <w:ind w:left="538"/>
            </w:pPr>
            <w:r>
              <w:rPr>
                <w:b/>
                <w:bCs/>
                <w:spacing w:val="-3"/>
              </w:rPr>
              <w:t>GB/T 32439—2015</w:t>
            </w:r>
          </w:p>
        </w:tc>
        <w:tc>
          <w:tcPr>
            <w:tcW w:w="2776" w:type="dxa"/>
            <w:tcBorders>
              <w:left w:val="single" w:color="000000" w:sz="8" w:space="0"/>
              <w:bottom w:val="single" w:color="000000" w:sz="6" w:space="0"/>
            </w:tcBorders>
            <w:vAlign w:val="top"/>
          </w:tcPr>
          <w:p w14:paraId="021E753F">
            <w:pPr>
              <w:spacing w:line="299" w:lineRule="auto"/>
              <w:rPr>
                <w:rFonts w:ascii="Arial"/>
                <w:sz w:val="21"/>
              </w:rPr>
            </w:pPr>
          </w:p>
          <w:p w14:paraId="2CC382A4">
            <w:pPr>
              <w:pStyle w:val="6"/>
              <w:spacing w:before="61" w:line="193" w:lineRule="auto"/>
              <w:ind w:left="595"/>
            </w:pPr>
            <w:r>
              <w:rPr>
                <w:b/>
                <w:bCs/>
                <w:spacing w:val="-3"/>
              </w:rPr>
              <w:t>GB/T 8806—2008</w:t>
            </w:r>
          </w:p>
        </w:tc>
      </w:tr>
      <w:tr w14:paraId="00259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2" w:hRule="atLeast"/>
        </w:trPr>
        <w:tc>
          <w:tcPr>
            <w:tcW w:w="604" w:type="dxa"/>
            <w:tcBorders>
              <w:left w:val="single" w:color="000000" w:sz="6" w:space="0"/>
              <w:right w:val="single" w:color="000000" w:sz="8" w:space="0"/>
            </w:tcBorders>
            <w:vAlign w:val="top"/>
          </w:tcPr>
          <w:p w14:paraId="69C5BC6B">
            <w:pPr>
              <w:spacing w:line="257" w:lineRule="auto"/>
              <w:rPr>
                <w:rFonts w:ascii="Arial"/>
                <w:sz w:val="21"/>
              </w:rPr>
            </w:pPr>
          </w:p>
          <w:p w14:paraId="42EE1FDA">
            <w:pPr>
              <w:pStyle w:val="6"/>
              <w:spacing w:before="61" w:line="189" w:lineRule="auto"/>
              <w:ind w:left="241"/>
            </w:pPr>
            <w:r>
              <w:rPr>
                <w:b/>
                <w:bCs/>
              </w:rPr>
              <w:t>2</w:t>
            </w:r>
          </w:p>
        </w:tc>
        <w:tc>
          <w:tcPr>
            <w:tcW w:w="3023" w:type="dxa"/>
            <w:tcBorders>
              <w:left w:val="single" w:color="000000" w:sz="8" w:space="0"/>
              <w:right w:val="single" w:color="000000" w:sz="8" w:space="0"/>
            </w:tcBorders>
            <w:vAlign w:val="top"/>
          </w:tcPr>
          <w:p w14:paraId="73F9499C">
            <w:pPr>
              <w:pStyle w:val="6"/>
              <w:spacing w:before="129" w:line="287" w:lineRule="auto"/>
              <w:ind w:left="878" w:right="886" w:firstLine="100"/>
              <w:rPr>
                <w:rFonts w:ascii="宋体" w:hAnsi="宋体" w:eastAsia="宋体" w:cs="宋体"/>
              </w:rPr>
            </w:pPr>
            <w:r>
              <w:rPr>
                <w:rFonts w:ascii="宋体" w:hAnsi="宋体" w:eastAsia="宋体" w:cs="宋体"/>
                <w:b/>
                <w:bCs/>
                <w:spacing w:val="-4"/>
              </w:rPr>
              <w:t>静液压强度</w:t>
            </w:r>
            <w:r>
              <w:rPr>
                <w:rFonts w:ascii="宋体" w:hAnsi="宋体" w:eastAsia="宋体" w:cs="宋体"/>
                <w:spacing w:val="1"/>
              </w:rPr>
              <w:t xml:space="preserve">  </w:t>
            </w:r>
            <w:r>
              <w:rPr>
                <w:rFonts w:ascii="宋体" w:hAnsi="宋体" w:eastAsia="宋体" w:cs="宋体"/>
                <w:b/>
                <w:bCs/>
                <w:spacing w:val="-20"/>
              </w:rPr>
              <w:t>（</w:t>
            </w:r>
            <w:r>
              <w:rPr>
                <w:b/>
                <w:bCs/>
                <w:spacing w:val="-20"/>
              </w:rPr>
              <w:t>20℃</w:t>
            </w:r>
            <w:r>
              <w:rPr>
                <w:b/>
                <w:bCs/>
                <w:spacing w:val="-24"/>
              </w:rPr>
              <w:t xml:space="preserve"> </w:t>
            </w:r>
            <w:r>
              <w:rPr>
                <w:rFonts w:ascii="宋体" w:hAnsi="宋体" w:eastAsia="宋体" w:cs="宋体"/>
                <w:b/>
                <w:bCs/>
                <w:spacing w:val="-20"/>
              </w:rPr>
              <w:t>,</w:t>
            </w:r>
            <w:r>
              <w:rPr>
                <w:rFonts w:ascii="宋体" w:hAnsi="宋体" w:eastAsia="宋体" w:cs="宋体"/>
                <w:spacing w:val="73"/>
              </w:rPr>
              <w:t xml:space="preserve"> </w:t>
            </w:r>
            <w:r>
              <w:rPr>
                <w:b/>
                <w:bCs/>
                <w:spacing w:val="-20"/>
              </w:rPr>
              <w:t>1h</w:t>
            </w:r>
            <w:r>
              <w:rPr>
                <w:rFonts w:ascii="宋体" w:hAnsi="宋体" w:eastAsia="宋体" w:cs="宋体"/>
                <w:b/>
                <w:bCs/>
                <w:spacing w:val="-20"/>
              </w:rPr>
              <w:t>）</w:t>
            </w:r>
          </w:p>
        </w:tc>
        <w:tc>
          <w:tcPr>
            <w:tcW w:w="2771" w:type="dxa"/>
            <w:tcBorders>
              <w:left w:val="single" w:color="000000" w:sz="8" w:space="0"/>
              <w:right w:val="single" w:color="000000" w:sz="8" w:space="0"/>
            </w:tcBorders>
            <w:vAlign w:val="top"/>
          </w:tcPr>
          <w:p w14:paraId="68BA20A6">
            <w:pPr>
              <w:spacing w:line="298" w:lineRule="auto"/>
              <w:rPr>
                <w:rFonts w:ascii="Arial"/>
                <w:sz w:val="21"/>
              </w:rPr>
            </w:pPr>
          </w:p>
          <w:p w14:paraId="7F6E07A1">
            <w:pPr>
              <w:pStyle w:val="6"/>
              <w:spacing w:before="61" w:line="193" w:lineRule="auto"/>
              <w:ind w:left="538"/>
            </w:pPr>
            <w:r>
              <w:rPr>
                <w:b/>
                <w:bCs/>
                <w:spacing w:val="-3"/>
              </w:rPr>
              <w:t>GB/T 32439—2015</w:t>
            </w:r>
          </w:p>
        </w:tc>
        <w:tc>
          <w:tcPr>
            <w:tcW w:w="2776" w:type="dxa"/>
            <w:tcBorders>
              <w:left w:val="single" w:color="000000" w:sz="8" w:space="0"/>
              <w:bottom w:val="single" w:color="000000" w:sz="6" w:space="0"/>
            </w:tcBorders>
            <w:vAlign w:val="top"/>
          </w:tcPr>
          <w:p w14:paraId="7963D81D">
            <w:pPr>
              <w:pStyle w:val="6"/>
              <w:spacing w:before="162" w:line="308" w:lineRule="auto"/>
              <w:ind w:left="602" w:right="543" w:hanging="60"/>
            </w:pPr>
            <w:r>
              <w:rPr>
                <w:b/>
                <w:bCs/>
                <w:spacing w:val="-3"/>
              </w:rPr>
              <w:t>GB/T 32439—2015</w:t>
            </w:r>
            <w:r>
              <w:rPr>
                <w:b/>
                <w:bCs/>
                <w:spacing w:val="12"/>
              </w:rPr>
              <w:t xml:space="preserve"> </w:t>
            </w:r>
            <w:r>
              <w:rPr>
                <w:b/>
                <w:bCs/>
                <w:spacing w:val="-4"/>
              </w:rPr>
              <w:t>GB/T 6111—2018</w:t>
            </w:r>
          </w:p>
        </w:tc>
      </w:tr>
      <w:tr w14:paraId="50A05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5" w:hRule="atLeast"/>
        </w:trPr>
        <w:tc>
          <w:tcPr>
            <w:tcW w:w="604" w:type="dxa"/>
            <w:tcBorders>
              <w:left w:val="single" w:color="000000" w:sz="6" w:space="0"/>
              <w:right w:val="single" w:color="000000" w:sz="8" w:space="0"/>
            </w:tcBorders>
            <w:vAlign w:val="top"/>
          </w:tcPr>
          <w:p w14:paraId="59D161DC">
            <w:pPr>
              <w:spacing w:line="261" w:lineRule="auto"/>
              <w:rPr>
                <w:rFonts w:ascii="Arial"/>
                <w:sz w:val="21"/>
              </w:rPr>
            </w:pPr>
          </w:p>
          <w:p w14:paraId="53093763">
            <w:pPr>
              <w:pStyle w:val="6"/>
              <w:spacing w:before="60" w:line="189" w:lineRule="auto"/>
              <w:ind w:left="245"/>
            </w:pPr>
            <w:r>
              <w:rPr>
                <w:b/>
                <w:bCs/>
              </w:rPr>
              <w:t>3</w:t>
            </w:r>
          </w:p>
        </w:tc>
        <w:tc>
          <w:tcPr>
            <w:tcW w:w="3023" w:type="dxa"/>
            <w:tcBorders>
              <w:left w:val="single" w:color="000000" w:sz="8" w:space="0"/>
              <w:right w:val="single" w:color="000000" w:sz="8" w:space="0"/>
            </w:tcBorders>
            <w:vAlign w:val="top"/>
          </w:tcPr>
          <w:p w14:paraId="35159BC2">
            <w:pPr>
              <w:spacing w:line="262" w:lineRule="auto"/>
              <w:rPr>
                <w:rFonts w:ascii="Arial"/>
                <w:sz w:val="21"/>
              </w:rPr>
            </w:pPr>
          </w:p>
          <w:p w14:paraId="1E59DD4E">
            <w:pPr>
              <w:spacing w:before="69" w:line="219" w:lineRule="auto"/>
              <w:ind w:left="1083"/>
              <w:rPr>
                <w:rFonts w:ascii="宋体" w:hAnsi="宋体" w:eastAsia="宋体" w:cs="宋体"/>
                <w:sz w:val="21"/>
                <w:szCs w:val="21"/>
              </w:rPr>
            </w:pPr>
            <w:r>
              <w:rPr>
                <w:rFonts w:ascii="宋体" w:hAnsi="宋体" w:eastAsia="宋体" w:cs="宋体"/>
                <w:b/>
                <w:bCs/>
                <w:spacing w:val="-4"/>
                <w:sz w:val="21"/>
                <w:szCs w:val="21"/>
              </w:rPr>
              <w:t>爆破压力</w:t>
            </w:r>
          </w:p>
        </w:tc>
        <w:tc>
          <w:tcPr>
            <w:tcW w:w="2771" w:type="dxa"/>
            <w:tcBorders>
              <w:left w:val="single" w:color="000000" w:sz="8" w:space="0"/>
              <w:right w:val="single" w:color="000000" w:sz="8" w:space="0"/>
            </w:tcBorders>
            <w:vAlign w:val="top"/>
          </w:tcPr>
          <w:p w14:paraId="78479867">
            <w:pPr>
              <w:spacing w:line="302" w:lineRule="auto"/>
              <w:rPr>
                <w:rFonts w:ascii="Arial"/>
                <w:sz w:val="21"/>
              </w:rPr>
            </w:pPr>
          </w:p>
          <w:p w14:paraId="7F3BFAC1">
            <w:pPr>
              <w:pStyle w:val="6"/>
              <w:spacing w:before="61" w:line="193" w:lineRule="auto"/>
              <w:ind w:left="538"/>
            </w:pPr>
            <w:r>
              <w:rPr>
                <w:b/>
                <w:bCs/>
                <w:spacing w:val="-3"/>
              </w:rPr>
              <w:t>GB/T 32439—2015</w:t>
            </w:r>
          </w:p>
        </w:tc>
        <w:tc>
          <w:tcPr>
            <w:tcW w:w="2776" w:type="dxa"/>
            <w:tcBorders>
              <w:left w:val="single" w:color="000000" w:sz="8" w:space="0"/>
              <w:bottom w:val="single" w:color="000000" w:sz="6" w:space="0"/>
            </w:tcBorders>
            <w:vAlign w:val="top"/>
          </w:tcPr>
          <w:p w14:paraId="10B4D470">
            <w:pPr>
              <w:pStyle w:val="6"/>
              <w:spacing w:before="163" w:line="309" w:lineRule="auto"/>
              <w:ind w:left="542" w:right="543"/>
            </w:pPr>
            <w:r>
              <w:rPr>
                <w:b/>
                <w:bCs/>
                <w:spacing w:val="-3"/>
              </w:rPr>
              <w:t>GB/T 32439—2015</w:t>
            </w:r>
            <w:r>
              <w:rPr>
                <w:b/>
                <w:bCs/>
                <w:spacing w:val="12"/>
              </w:rPr>
              <w:t xml:space="preserve"> </w:t>
            </w:r>
            <w:r>
              <w:rPr>
                <w:b/>
                <w:bCs/>
                <w:spacing w:val="-4"/>
              </w:rPr>
              <w:t>GB/T</w:t>
            </w:r>
            <w:r>
              <w:rPr>
                <w:b/>
                <w:bCs/>
                <w:spacing w:val="23"/>
              </w:rPr>
              <w:t xml:space="preserve"> </w:t>
            </w:r>
            <w:r>
              <w:rPr>
                <w:b/>
                <w:bCs/>
                <w:spacing w:val="-4"/>
              </w:rPr>
              <w:t>15560—1995</w:t>
            </w:r>
          </w:p>
        </w:tc>
      </w:tr>
      <w:tr w14:paraId="4FA55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604" w:type="dxa"/>
            <w:tcBorders>
              <w:left w:val="single" w:color="000000" w:sz="6" w:space="0"/>
              <w:right w:val="single" w:color="000000" w:sz="8" w:space="0"/>
            </w:tcBorders>
            <w:vAlign w:val="top"/>
          </w:tcPr>
          <w:p w14:paraId="1B25C25F">
            <w:pPr>
              <w:spacing w:line="260" w:lineRule="auto"/>
              <w:rPr>
                <w:rFonts w:ascii="Arial"/>
                <w:sz w:val="21"/>
              </w:rPr>
            </w:pPr>
          </w:p>
          <w:p w14:paraId="155AFEAA">
            <w:pPr>
              <w:pStyle w:val="6"/>
              <w:spacing w:before="61" w:line="189" w:lineRule="auto"/>
              <w:ind w:left="240"/>
            </w:pPr>
            <w:r>
              <w:rPr>
                <w:b/>
                <w:bCs/>
              </w:rPr>
              <w:t>4</w:t>
            </w:r>
          </w:p>
        </w:tc>
        <w:tc>
          <w:tcPr>
            <w:tcW w:w="3023" w:type="dxa"/>
            <w:tcBorders>
              <w:left w:val="single" w:color="000000" w:sz="8" w:space="0"/>
              <w:right w:val="single" w:color="000000" w:sz="8" w:space="0"/>
            </w:tcBorders>
            <w:vAlign w:val="top"/>
          </w:tcPr>
          <w:p w14:paraId="42F9E1A8">
            <w:pPr>
              <w:spacing w:line="261" w:lineRule="auto"/>
              <w:rPr>
                <w:rFonts w:ascii="Arial"/>
                <w:sz w:val="21"/>
              </w:rPr>
            </w:pPr>
          </w:p>
          <w:p w14:paraId="4CC42FA0">
            <w:pPr>
              <w:spacing w:before="68" w:line="220" w:lineRule="auto"/>
              <w:ind w:left="875"/>
              <w:rPr>
                <w:rFonts w:ascii="宋体" w:hAnsi="宋体" w:eastAsia="宋体" w:cs="宋体"/>
                <w:sz w:val="21"/>
                <w:szCs w:val="21"/>
              </w:rPr>
            </w:pPr>
            <w:r>
              <w:rPr>
                <w:rFonts w:ascii="宋体" w:hAnsi="宋体" w:eastAsia="宋体" w:cs="宋体"/>
                <w:b/>
                <w:bCs/>
                <w:spacing w:val="-4"/>
                <w:sz w:val="21"/>
                <w:szCs w:val="21"/>
              </w:rPr>
              <w:t>氧化诱导时间</w:t>
            </w:r>
          </w:p>
        </w:tc>
        <w:tc>
          <w:tcPr>
            <w:tcW w:w="2771" w:type="dxa"/>
            <w:tcBorders>
              <w:left w:val="single" w:color="000000" w:sz="8" w:space="0"/>
              <w:right w:val="single" w:color="000000" w:sz="8" w:space="0"/>
            </w:tcBorders>
            <w:vAlign w:val="top"/>
          </w:tcPr>
          <w:p w14:paraId="1D695243">
            <w:pPr>
              <w:spacing w:line="301" w:lineRule="auto"/>
              <w:rPr>
                <w:rFonts w:ascii="Arial"/>
                <w:sz w:val="21"/>
              </w:rPr>
            </w:pPr>
          </w:p>
          <w:p w14:paraId="577B2053">
            <w:pPr>
              <w:pStyle w:val="6"/>
              <w:spacing w:before="61" w:line="193" w:lineRule="auto"/>
              <w:ind w:left="538"/>
            </w:pPr>
            <w:r>
              <w:rPr>
                <w:b/>
                <w:bCs/>
                <w:spacing w:val="-3"/>
              </w:rPr>
              <w:t>GB/T 32439—2015</w:t>
            </w:r>
          </w:p>
        </w:tc>
        <w:tc>
          <w:tcPr>
            <w:tcW w:w="2776" w:type="dxa"/>
            <w:tcBorders>
              <w:left w:val="single" w:color="000000" w:sz="8" w:space="0"/>
            </w:tcBorders>
            <w:vAlign w:val="top"/>
          </w:tcPr>
          <w:p w14:paraId="671333EF">
            <w:pPr>
              <w:pStyle w:val="6"/>
              <w:spacing w:before="164" w:line="193" w:lineRule="auto"/>
              <w:ind w:left="542"/>
            </w:pPr>
            <w:r>
              <w:rPr>
                <w:b/>
                <w:bCs/>
                <w:spacing w:val="-3"/>
              </w:rPr>
              <w:t>GB/T 32439—2015</w:t>
            </w:r>
          </w:p>
          <w:p w14:paraId="2879CA06">
            <w:pPr>
              <w:pStyle w:val="6"/>
              <w:spacing w:before="206" w:line="193" w:lineRule="auto"/>
              <w:ind w:left="463"/>
            </w:pPr>
            <w:r>
              <w:rPr>
                <w:b/>
                <w:bCs/>
                <w:spacing w:val="-4"/>
              </w:rPr>
              <w:t>GB/T</w:t>
            </w:r>
            <w:r>
              <w:rPr>
                <w:b/>
                <w:bCs/>
                <w:spacing w:val="31"/>
                <w:w w:val="101"/>
              </w:rPr>
              <w:t xml:space="preserve"> </w:t>
            </w:r>
            <w:r>
              <w:rPr>
                <w:b/>
                <w:bCs/>
                <w:spacing w:val="-4"/>
              </w:rPr>
              <w:t>19466.6—2009</w:t>
            </w:r>
          </w:p>
        </w:tc>
      </w:tr>
      <w:tr w14:paraId="34D53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604" w:type="dxa"/>
            <w:vAlign w:val="top"/>
          </w:tcPr>
          <w:p w14:paraId="0111E2FD">
            <w:pPr>
              <w:spacing w:line="276" w:lineRule="auto"/>
              <w:rPr>
                <w:rFonts w:ascii="Arial"/>
                <w:sz w:val="21"/>
              </w:rPr>
            </w:pPr>
          </w:p>
          <w:p w14:paraId="3E9F1C50">
            <w:pPr>
              <w:pStyle w:val="6"/>
              <w:spacing w:before="60" w:line="186" w:lineRule="auto"/>
              <w:ind w:left="252"/>
            </w:pPr>
            <w:r>
              <w:rPr>
                <w:b/>
                <w:bCs/>
              </w:rPr>
              <w:t>5</w:t>
            </w:r>
          </w:p>
        </w:tc>
        <w:tc>
          <w:tcPr>
            <w:tcW w:w="3023" w:type="dxa"/>
            <w:vAlign w:val="top"/>
          </w:tcPr>
          <w:p w14:paraId="337C15C2">
            <w:pPr>
              <w:pStyle w:val="6"/>
              <w:spacing w:before="143" w:line="289" w:lineRule="auto"/>
              <w:ind w:left="283" w:right="147" w:hanging="136"/>
              <w:rPr>
                <w:rFonts w:ascii="宋体" w:hAnsi="宋体" w:eastAsia="宋体" w:cs="宋体"/>
              </w:rPr>
            </w:pPr>
            <w:r>
              <w:rPr>
                <w:rFonts w:ascii="宋体" w:hAnsi="宋体" w:eastAsia="宋体" w:cs="宋体"/>
                <w:b/>
                <w:bCs/>
                <w:spacing w:val="-3"/>
              </w:rPr>
              <w:t>卫生要求（铅、镉、高锰酸钾</w:t>
            </w:r>
            <w:r>
              <w:rPr>
                <w:rFonts w:ascii="宋体" w:hAnsi="宋体" w:eastAsia="宋体" w:cs="宋体"/>
                <w:spacing w:val="2"/>
              </w:rPr>
              <w:t xml:space="preserve"> </w:t>
            </w:r>
            <w:r>
              <w:rPr>
                <w:rFonts w:ascii="宋体" w:hAnsi="宋体" w:eastAsia="宋体" w:cs="宋体"/>
                <w:b/>
                <w:bCs/>
                <w:spacing w:val="-5"/>
              </w:rPr>
              <w:t>消耗量</w:t>
            </w:r>
            <w:r>
              <w:rPr>
                <w:b/>
                <w:bCs/>
                <w:spacing w:val="-5"/>
              </w:rPr>
              <w:t>[</w:t>
            </w:r>
            <w:r>
              <w:rPr>
                <w:rFonts w:ascii="宋体" w:hAnsi="宋体" w:eastAsia="宋体" w:cs="宋体"/>
                <w:b/>
                <w:bCs/>
                <w:spacing w:val="-5"/>
              </w:rPr>
              <w:t>以氧气（</w:t>
            </w:r>
            <w:r>
              <w:rPr>
                <w:b/>
                <w:bCs/>
                <w:spacing w:val="-5"/>
              </w:rPr>
              <w:t>O</w:t>
            </w:r>
            <w:r>
              <w:rPr>
                <w:b/>
                <w:bCs/>
                <w:spacing w:val="-5"/>
                <w:position w:val="-3"/>
                <w:sz w:val="13"/>
                <w:szCs w:val="13"/>
              </w:rPr>
              <w:t xml:space="preserve">2 </w:t>
            </w:r>
            <w:r>
              <w:rPr>
                <w:rFonts w:ascii="宋体" w:hAnsi="宋体" w:eastAsia="宋体" w:cs="宋体"/>
                <w:b/>
                <w:bCs/>
                <w:spacing w:val="-5"/>
              </w:rPr>
              <w:t>）计</w:t>
            </w:r>
            <w:r>
              <w:rPr>
                <w:b/>
                <w:bCs/>
                <w:spacing w:val="-5"/>
              </w:rPr>
              <w:t>]</w:t>
            </w:r>
            <w:r>
              <w:rPr>
                <w:rFonts w:ascii="宋体" w:hAnsi="宋体" w:eastAsia="宋体" w:cs="宋体"/>
                <w:b/>
                <w:bCs/>
                <w:spacing w:val="-5"/>
              </w:rPr>
              <w:t>）</w:t>
            </w:r>
          </w:p>
        </w:tc>
        <w:tc>
          <w:tcPr>
            <w:tcW w:w="2771" w:type="dxa"/>
            <w:vAlign w:val="top"/>
          </w:tcPr>
          <w:p w14:paraId="34EA9A2A">
            <w:pPr>
              <w:spacing w:line="314" w:lineRule="auto"/>
              <w:rPr>
                <w:rFonts w:ascii="Arial"/>
                <w:sz w:val="21"/>
              </w:rPr>
            </w:pPr>
          </w:p>
          <w:p w14:paraId="6E8AC728">
            <w:pPr>
              <w:pStyle w:val="6"/>
              <w:spacing w:before="61" w:line="193" w:lineRule="auto"/>
              <w:ind w:left="546"/>
            </w:pPr>
            <w:r>
              <w:rPr>
                <w:b/>
                <w:bCs/>
                <w:spacing w:val="-3"/>
              </w:rPr>
              <w:t>GB/T 32439—2015</w:t>
            </w:r>
          </w:p>
        </w:tc>
        <w:tc>
          <w:tcPr>
            <w:tcW w:w="2776" w:type="dxa"/>
            <w:vAlign w:val="top"/>
          </w:tcPr>
          <w:p w14:paraId="5C76BB81">
            <w:pPr>
              <w:spacing w:line="314" w:lineRule="auto"/>
              <w:rPr>
                <w:rFonts w:ascii="Arial"/>
                <w:sz w:val="21"/>
              </w:rPr>
            </w:pPr>
          </w:p>
          <w:p w14:paraId="00ADFC4C">
            <w:pPr>
              <w:pStyle w:val="6"/>
              <w:spacing w:before="61" w:line="193" w:lineRule="auto"/>
              <w:ind w:left="550"/>
            </w:pPr>
            <w:r>
              <w:rPr>
                <w:b/>
                <w:bCs/>
                <w:spacing w:val="-4"/>
              </w:rPr>
              <w:t>GB/T</w:t>
            </w:r>
            <w:r>
              <w:rPr>
                <w:b/>
                <w:bCs/>
                <w:spacing w:val="23"/>
              </w:rPr>
              <w:t xml:space="preserve"> </w:t>
            </w:r>
            <w:r>
              <w:rPr>
                <w:b/>
                <w:bCs/>
                <w:spacing w:val="-4"/>
              </w:rPr>
              <w:t>17219—1998</w:t>
            </w:r>
          </w:p>
        </w:tc>
      </w:tr>
    </w:tbl>
    <w:p w14:paraId="1D238CB8">
      <w:pPr>
        <w:pStyle w:val="2"/>
        <w:spacing w:before="172" w:line="220" w:lineRule="auto"/>
        <w:ind w:left="541"/>
      </w:pPr>
      <w:r>
        <w:rPr>
          <w:b/>
          <w:bCs/>
          <w:spacing w:val="-2"/>
        </w:rPr>
        <w:t>执行企业标准、团体标准、地方标准的产品，检</w:t>
      </w:r>
      <w:r>
        <w:rPr>
          <w:b/>
          <w:bCs/>
          <w:spacing w:val="-3"/>
        </w:rPr>
        <w:t>验项目参照上述内容执行。</w:t>
      </w:r>
    </w:p>
    <w:p w14:paraId="6D7943E8">
      <w:pPr>
        <w:pStyle w:val="2"/>
        <w:spacing w:before="188" w:line="220" w:lineRule="auto"/>
        <w:ind w:left="545"/>
      </w:pPr>
      <w:r>
        <w:rPr>
          <w:b/>
          <w:bCs/>
          <w:spacing w:val="-4"/>
        </w:rPr>
        <w:t>凡是注日期的文件，其随后所有的修改单（不包括勘误的内容）或修订版</w:t>
      </w:r>
      <w:r>
        <w:rPr>
          <w:b/>
          <w:bCs/>
          <w:spacing w:val="-5"/>
        </w:rPr>
        <w:t>不适用于本细则。凡</w:t>
      </w:r>
    </w:p>
    <w:p w14:paraId="103004C5">
      <w:pPr>
        <w:pStyle w:val="2"/>
        <w:spacing w:before="191" w:line="220" w:lineRule="auto"/>
        <w:ind w:left="124"/>
      </w:pPr>
      <w:r>
        <w:rPr>
          <w:b/>
          <w:bCs/>
          <w:spacing w:val="-3"/>
        </w:rPr>
        <w:t>是不注日期的文件，其最新版本适用于本细则。</w:t>
      </w:r>
    </w:p>
    <w:p w14:paraId="2310B329">
      <w:pPr>
        <w:pStyle w:val="2"/>
        <w:spacing w:before="147" w:line="221" w:lineRule="auto"/>
        <w:ind w:left="121"/>
        <w:outlineLvl w:val="0"/>
      </w:pPr>
      <w:r>
        <w:rPr>
          <w:rFonts w:ascii="Times New Roman" w:hAnsi="Times New Roman" w:eastAsia="Times New Roman" w:cs="Times New Roman"/>
          <w:b/>
          <w:bCs/>
          <w:spacing w:val="-2"/>
        </w:rPr>
        <w:t xml:space="preserve">3  </w:t>
      </w:r>
      <w:r>
        <w:rPr>
          <w:b/>
          <w:bCs/>
          <w:spacing w:val="-2"/>
        </w:rPr>
        <w:t>判定规则</w:t>
      </w:r>
    </w:p>
    <w:p w14:paraId="7C323770">
      <w:pPr>
        <w:spacing w:line="221" w:lineRule="auto"/>
        <w:sectPr>
          <w:footerReference r:id="rId5" w:type="default"/>
          <w:pgSz w:w="11907" w:h="16839"/>
          <w:pgMar w:top="1431" w:right="1360" w:bottom="1366" w:left="1360" w:header="0" w:footer="1204" w:gutter="0"/>
          <w:cols w:space="720" w:num="1"/>
        </w:sectPr>
      </w:pPr>
    </w:p>
    <w:p w14:paraId="69D3AB2D">
      <w:pPr>
        <w:spacing w:line="326" w:lineRule="auto"/>
        <w:rPr>
          <w:rFonts w:ascii="Arial"/>
          <w:sz w:val="21"/>
        </w:rPr>
      </w:pPr>
    </w:p>
    <w:p w14:paraId="3E1951B0">
      <w:pPr>
        <w:spacing w:line="326" w:lineRule="auto"/>
        <w:rPr>
          <w:rFonts w:ascii="Arial"/>
          <w:sz w:val="21"/>
        </w:rPr>
      </w:pPr>
    </w:p>
    <w:p w14:paraId="61F2D69E">
      <w:pPr>
        <w:pStyle w:val="2"/>
        <w:spacing w:before="68" w:line="220" w:lineRule="auto"/>
        <w:outlineLvl w:val="0"/>
      </w:pPr>
      <w:r>
        <w:rPr>
          <w:rFonts w:ascii="Times New Roman" w:hAnsi="Times New Roman" w:eastAsia="Times New Roman" w:cs="Times New Roman"/>
          <w:b/>
          <w:bCs/>
          <w:spacing w:val="-4"/>
        </w:rPr>
        <w:t>3.1</w:t>
      </w:r>
      <w:r>
        <w:rPr>
          <w:rFonts w:ascii="Times New Roman" w:hAnsi="Times New Roman" w:eastAsia="Times New Roman" w:cs="Times New Roman"/>
          <w:b/>
          <w:bCs/>
          <w:spacing w:val="12"/>
        </w:rPr>
        <w:t xml:space="preserve"> </w:t>
      </w:r>
      <w:r>
        <w:rPr>
          <w:b/>
          <w:bCs/>
          <w:spacing w:val="-4"/>
        </w:rPr>
        <w:t>依据标准</w:t>
      </w:r>
    </w:p>
    <w:p w14:paraId="77EFD361">
      <w:pPr>
        <w:pStyle w:val="2"/>
        <w:spacing w:before="189" w:line="220" w:lineRule="auto"/>
        <w:ind w:left="419"/>
      </w:pPr>
      <w:r>
        <w:rPr>
          <w:rFonts w:ascii="Times New Roman" w:hAnsi="Times New Roman" w:eastAsia="Times New Roman" w:cs="Times New Roman"/>
          <w:b/>
          <w:bCs/>
          <w:spacing w:val="-2"/>
        </w:rPr>
        <w:t xml:space="preserve">GB/T 32439—2015  </w:t>
      </w:r>
      <w:r>
        <w:rPr>
          <w:b/>
          <w:bCs/>
          <w:spacing w:val="-2"/>
        </w:rPr>
        <w:t>给水用钢丝网增强聚乙烯复合</w:t>
      </w:r>
      <w:r>
        <w:rPr>
          <w:b/>
          <w:bCs/>
          <w:spacing w:val="-3"/>
        </w:rPr>
        <w:t>管道</w:t>
      </w:r>
    </w:p>
    <w:p w14:paraId="7761FF1D">
      <w:pPr>
        <w:pStyle w:val="2"/>
        <w:spacing w:before="191" w:line="220" w:lineRule="auto"/>
        <w:ind w:left="421"/>
      </w:pPr>
      <w:r>
        <w:rPr>
          <w:b/>
          <w:bCs/>
          <w:spacing w:val="-3"/>
        </w:rPr>
        <w:t>现行有效的企业标准、团体标准、地方标准及产品明示质量要求</w:t>
      </w:r>
    </w:p>
    <w:p w14:paraId="2179632D">
      <w:pPr>
        <w:pStyle w:val="2"/>
        <w:spacing w:before="188" w:line="221" w:lineRule="auto"/>
        <w:outlineLvl w:val="0"/>
      </w:pPr>
      <w:r>
        <w:rPr>
          <w:rFonts w:ascii="Times New Roman" w:hAnsi="Times New Roman" w:eastAsia="Times New Roman" w:cs="Times New Roman"/>
          <w:b/>
          <w:bCs/>
          <w:spacing w:val="-2"/>
        </w:rPr>
        <w:t xml:space="preserve">3.2 </w:t>
      </w:r>
      <w:r>
        <w:rPr>
          <w:b/>
          <w:bCs/>
          <w:spacing w:val="-2"/>
        </w:rPr>
        <w:t>判定原则</w:t>
      </w:r>
    </w:p>
    <w:p w14:paraId="2CEB5FEC">
      <w:pPr>
        <w:pStyle w:val="2"/>
        <w:spacing w:before="187" w:line="375" w:lineRule="auto"/>
        <w:ind w:left="3" w:firstLine="418"/>
      </w:pPr>
      <w:r>
        <w:rPr>
          <w:b/>
          <w:bCs/>
          <w:spacing w:val="-4"/>
        </w:rPr>
        <w:t>经检验，检验项目全部合格，判定为被抽查产品所检项目未发现不合格；检验</w:t>
      </w:r>
      <w:r>
        <w:rPr>
          <w:b/>
          <w:bCs/>
          <w:spacing w:val="-5"/>
        </w:rPr>
        <w:t>项目中任一项或</w:t>
      </w:r>
      <w:r>
        <w:t xml:space="preserve"> </w:t>
      </w:r>
      <w:r>
        <w:rPr>
          <w:b/>
          <w:bCs/>
          <w:spacing w:val="-3"/>
        </w:rPr>
        <w:t>一项以上不合格，判定为被抽查产品不合格。</w:t>
      </w:r>
    </w:p>
    <w:p w14:paraId="2919FDBE">
      <w:pPr>
        <w:pStyle w:val="2"/>
        <w:spacing w:before="28" w:line="373" w:lineRule="auto"/>
        <w:ind w:firstLine="418"/>
      </w:pPr>
      <w:r>
        <w:rPr>
          <w:b/>
          <w:bCs/>
          <w:spacing w:val="-4"/>
        </w:rPr>
        <w:t>若被检产品明示的质量要求高于本细则中检验项目依据的标准要求时，应按被检产品</w:t>
      </w:r>
      <w:r>
        <w:rPr>
          <w:b/>
          <w:bCs/>
          <w:spacing w:val="-5"/>
        </w:rPr>
        <w:t>明示的质</w:t>
      </w:r>
      <w:r>
        <w:t xml:space="preserve"> </w:t>
      </w:r>
      <w:r>
        <w:rPr>
          <w:b/>
          <w:bCs/>
          <w:spacing w:val="-3"/>
        </w:rPr>
        <w:t>量要求判定。</w:t>
      </w:r>
    </w:p>
    <w:p w14:paraId="266BE751">
      <w:pPr>
        <w:pStyle w:val="2"/>
        <w:spacing w:before="32" w:line="373" w:lineRule="auto"/>
        <w:ind w:left="1" w:firstLine="416"/>
      </w:pPr>
      <w:r>
        <w:rPr>
          <w:b/>
          <w:bCs/>
          <w:spacing w:val="-4"/>
        </w:rPr>
        <w:t>若被检产品明示的质量要求低于本细则中检验项目依据的强制性标准要求时，应按照</w:t>
      </w:r>
      <w:r>
        <w:rPr>
          <w:b/>
          <w:bCs/>
          <w:spacing w:val="-5"/>
        </w:rPr>
        <w:t>强制性标</w:t>
      </w:r>
      <w:r>
        <w:t xml:space="preserve"> </w:t>
      </w:r>
      <w:r>
        <w:rPr>
          <w:b/>
          <w:bCs/>
          <w:spacing w:val="-4"/>
        </w:rPr>
        <w:t>准要求判定。</w:t>
      </w:r>
    </w:p>
    <w:p w14:paraId="656B222D">
      <w:pPr>
        <w:pStyle w:val="2"/>
        <w:spacing w:before="30" w:line="375" w:lineRule="auto"/>
        <w:ind w:firstLine="418"/>
      </w:pPr>
      <w:r>
        <w:rPr>
          <w:b/>
          <w:bCs/>
          <w:spacing w:val="-4"/>
        </w:rPr>
        <w:t>若被检产品明示的质量要求低于或包含本细则中检验项目依据的推荐性标准要求时，</w:t>
      </w:r>
      <w:r>
        <w:rPr>
          <w:b/>
          <w:bCs/>
          <w:spacing w:val="-5"/>
        </w:rPr>
        <w:t>应以被检</w:t>
      </w:r>
      <w:r>
        <w:t xml:space="preserve"> </w:t>
      </w:r>
      <w:r>
        <w:rPr>
          <w:b/>
          <w:bCs/>
          <w:spacing w:val="-3"/>
        </w:rPr>
        <w:t>产品明示的质量要求判定。</w:t>
      </w:r>
    </w:p>
    <w:p w14:paraId="43B5E84F">
      <w:pPr>
        <w:pStyle w:val="2"/>
        <w:spacing w:before="28" w:line="373" w:lineRule="auto"/>
        <w:ind w:left="1" w:firstLine="416"/>
      </w:pPr>
      <w:r>
        <w:rPr>
          <w:b/>
          <w:bCs/>
          <w:spacing w:val="-4"/>
        </w:rPr>
        <w:t>若被检产品明示的质量要求缺少本细则中检验项目依据的强制性标准要求时，应按照</w:t>
      </w:r>
      <w:r>
        <w:rPr>
          <w:b/>
          <w:bCs/>
          <w:spacing w:val="-5"/>
        </w:rPr>
        <w:t>强制性标</w:t>
      </w:r>
      <w:r>
        <w:t xml:space="preserve"> </w:t>
      </w:r>
      <w:r>
        <w:rPr>
          <w:b/>
          <w:bCs/>
          <w:spacing w:val="-4"/>
        </w:rPr>
        <w:t>准要求判定。</w:t>
      </w:r>
    </w:p>
    <w:p w14:paraId="427639CE">
      <w:pPr>
        <w:pStyle w:val="2"/>
        <w:spacing w:before="32" w:line="373" w:lineRule="auto"/>
        <w:ind w:left="5" w:firstLine="413"/>
      </w:pPr>
      <w:r>
        <w:rPr>
          <w:b/>
          <w:bCs/>
          <w:spacing w:val="-4"/>
        </w:rPr>
        <w:t>若被检产品明示的质量要求缺少本细则中检验项目依据的推荐性标准要求时，该项目</w:t>
      </w:r>
      <w:r>
        <w:rPr>
          <w:b/>
          <w:bCs/>
          <w:spacing w:val="-5"/>
        </w:rPr>
        <w:t>不参与判</w:t>
      </w:r>
      <w:r>
        <w:t xml:space="preserve"> </w:t>
      </w:r>
      <w:r>
        <w:rPr>
          <w:b/>
          <w:bCs/>
          <w:spacing w:val="-9"/>
        </w:rPr>
        <w:t>定。</w:t>
      </w:r>
    </w:p>
    <w:sectPr>
      <w:footerReference r:id="rId6" w:type="default"/>
      <w:pgSz w:w="11907" w:h="16839"/>
      <w:pgMar w:top="1431" w:right="1471" w:bottom="1366" w:left="1481" w:header="0" w:footer="120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BF5E65">
    <w:pPr>
      <w:spacing w:line="176" w:lineRule="auto"/>
      <w:ind w:left="4566"/>
      <w:rPr>
        <w:rFonts w:ascii="Times New Roman" w:hAnsi="Times New Roman" w:eastAsia="Times New Roman" w:cs="Times New Roman"/>
        <w:sz w:val="18"/>
        <w:szCs w:val="18"/>
      </w:rPr>
    </w:pPr>
    <w:r>
      <w:rPr>
        <w:rFonts w:ascii="Times New Roman" w:hAnsi="Times New Roman" w:eastAsia="Times New Roman" w:cs="Times New Roman"/>
        <w:b/>
        <w:bCs/>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A689F">
    <w:pPr>
      <w:spacing w:line="176" w:lineRule="auto"/>
      <w:ind w:left="4428"/>
      <w:rPr>
        <w:rFonts w:ascii="Times New Roman" w:hAnsi="Times New Roman" w:eastAsia="Times New Roman" w:cs="Times New Roman"/>
        <w:sz w:val="18"/>
        <w:szCs w:val="18"/>
      </w:rPr>
    </w:pPr>
    <w:r>
      <w:rPr>
        <w:rFonts w:ascii="Times New Roman" w:hAnsi="Times New Roman" w:eastAsia="Times New Roman" w:cs="Times New Roman"/>
        <w:b/>
        <w:bCs/>
        <w:sz w:val="18"/>
        <w:szCs w:val="18"/>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5A4C1F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Times New Roman" w:hAnsi="Times New Roman" w:eastAsia="Times New Roman" w:cs="Times New Roman"/>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821</Words>
  <Characters>1000</Characters>
  <TotalTime>0</TotalTime>
  <ScaleCrop>false</ScaleCrop>
  <LinksUpToDate>false</LinksUpToDate>
  <CharactersWithSpaces>1067</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2025-03-07T14:58:00Z</dcterms:created>
  <dc:creator>Administrator</dc:creator>
  <cp:lastModifiedBy>WPS_1645145261</cp:lastModifiedBy>
  <dcterms:modified xsi:type="dcterms:W3CDTF">2025-05-01T08:11:54Z</dcterms:modified>
  <dc:title>Microsoft Word - V_x0017__x0001_Ù4(¢˛Qž:ZYï_x0008_¡S§Á(ÏÑc½åž½Æˇ_x0008_2025tH	.docx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2025-05-01T16:11:48Z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C353AA87A34546E09A9B5C7B5729C1F8_12</vt:lpwstr>
  </property>
</Properties>
</file>