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EC615">
      <w:pPr>
        <w:spacing w:line="273" w:lineRule="auto"/>
        <w:rPr>
          <w:rFonts w:ascii="Arial"/>
          <w:sz w:val="21"/>
        </w:rPr>
      </w:pPr>
    </w:p>
    <w:p w14:paraId="79A9BCBC">
      <w:pPr>
        <w:spacing w:line="274" w:lineRule="auto"/>
        <w:rPr>
          <w:rFonts w:ascii="Arial"/>
          <w:sz w:val="21"/>
        </w:rPr>
      </w:pPr>
    </w:p>
    <w:p w14:paraId="6D74853F">
      <w:pPr>
        <w:spacing w:before="133" w:line="187" w:lineRule="auto"/>
        <w:ind w:left="254"/>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bookmarkStart w:id="0" w:name="_GoBack"/>
      <w:bookmarkEnd w:id="0"/>
      <w:r>
        <w:rPr>
          <w:rFonts w:ascii="微软雅黑" w:hAnsi="微软雅黑" w:eastAsia="微软雅黑" w:cs="微软雅黑"/>
          <w:b/>
          <w:bCs/>
          <w:spacing w:val="8"/>
          <w:sz w:val="31"/>
          <w:szCs w:val="31"/>
        </w:rPr>
        <w:t>电力通信管材产品质量监督抽查实施细则（</w:t>
      </w:r>
      <w:r>
        <w:rPr>
          <w:rFonts w:ascii="Constantia" w:hAnsi="Constantia" w:eastAsia="Constantia" w:cs="Constantia"/>
          <w:b/>
          <w:bCs/>
          <w:spacing w:val="8"/>
          <w:sz w:val="31"/>
          <w:szCs w:val="31"/>
        </w:rPr>
        <w:t>2025</w:t>
      </w:r>
      <w:r>
        <w:rPr>
          <w:rFonts w:ascii="Constantia" w:hAnsi="Constantia" w:eastAsia="Constantia" w:cs="Constantia"/>
          <w:b/>
          <w:bCs/>
          <w:spacing w:val="46"/>
          <w:w w:val="101"/>
          <w:sz w:val="31"/>
          <w:szCs w:val="31"/>
        </w:rPr>
        <w:t xml:space="preserve"> </w:t>
      </w:r>
      <w:r>
        <w:rPr>
          <w:rFonts w:ascii="微软雅黑" w:hAnsi="微软雅黑" w:eastAsia="微软雅黑" w:cs="微软雅黑"/>
          <w:b/>
          <w:bCs/>
          <w:spacing w:val="8"/>
          <w:sz w:val="31"/>
          <w:szCs w:val="31"/>
        </w:rPr>
        <w:t>年版）</w:t>
      </w:r>
    </w:p>
    <w:p w14:paraId="28A8FE5A">
      <w:pPr>
        <w:spacing w:line="276" w:lineRule="auto"/>
        <w:rPr>
          <w:rFonts w:ascii="Arial"/>
          <w:sz w:val="21"/>
        </w:rPr>
      </w:pPr>
    </w:p>
    <w:p w14:paraId="6B927FEF">
      <w:pPr>
        <w:spacing w:line="277" w:lineRule="auto"/>
        <w:rPr>
          <w:rFonts w:ascii="Arial"/>
          <w:sz w:val="21"/>
        </w:rPr>
      </w:pPr>
    </w:p>
    <w:p w14:paraId="224FB880">
      <w:pPr>
        <w:spacing w:line="277" w:lineRule="auto"/>
        <w:rPr>
          <w:rFonts w:ascii="Arial"/>
          <w:sz w:val="21"/>
        </w:rPr>
      </w:pPr>
    </w:p>
    <w:p w14:paraId="7798F834">
      <w:pPr>
        <w:pStyle w:val="2"/>
        <w:spacing w:before="68" w:line="220" w:lineRule="auto"/>
        <w:ind w:left="137"/>
        <w:outlineLvl w:val="0"/>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2E00FC64">
      <w:pPr>
        <w:pStyle w:val="2"/>
        <w:spacing w:before="189" w:line="374" w:lineRule="auto"/>
        <w:ind w:left="552" w:right="2798"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72DEA642">
      <w:pPr>
        <w:pStyle w:val="2"/>
        <w:spacing w:before="29" w:line="372" w:lineRule="auto"/>
        <w:ind w:left="123" w:right="72" w:firstLine="416"/>
      </w:pPr>
      <w:r>
        <w:rPr>
          <w:b/>
          <w:bCs/>
          <w:spacing w:val="-1"/>
        </w:rPr>
        <w:t>在同一批次产品中抽取</w:t>
      </w:r>
      <w:r>
        <w:rPr>
          <w:spacing w:val="-42"/>
        </w:rPr>
        <w:t xml:space="preserve"> </w:t>
      </w:r>
      <w:r>
        <w:rPr>
          <w:rFonts w:ascii="Constantia" w:hAnsi="Constantia" w:eastAsia="Constantia" w:cs="Constantia"/>
          <w:b/>
          <w:bCs/>
          <w:spacing w:val="-1"/>
        </w:rPr>
        <w:t xml:space="preserve">5 </w:t>
      </w:r>
      <w:r>
        <w:rPr>
          <w:b/>
          <w:bCs/>
          <w:spacing w:val="-1"/>
        </w:rPr>
        <w:t>根管材，每根截取</w:t>
      </w:r>
      <w:r>
        <w:rPr>
          <w:spacing w:val="-47"/>
        </w:rPr>
        <w:t xml:space="preserve"> </w:t>
      </w:r>
      <w:r>
        <w:rPr>
          <w:rFonts w:ascii="Constantia" w:hAnsi="Constantia" w:eastAsia="Constantia" w:cs="Constantia"/>
          <w:b/>
          <w:bCs/>
          <w:spacing w:val="-1"/>
        </w:rPr>
        <w:t xml:space="preserve">2 </w:t>
      </w:r>
      <w:r>
        <w:rPr>
          <w:b/>
          <w:bCs/>
          <w:spacing w:val="-1"/>
        </w:rPr>
        <w:t>段，每段</w:t>
      </w:r>
      <w:r>
        <w:rPr>
          <w:spacing w:val="-28"/>
        </w:rPr>
        <w:t xml:space="preserve"> </w:t>
      </w:r>
      <w:r>
        <w:rPr>
          <w:rFonts w:ascii="Constantia" w:hAnsi="Constantia" w:eastAsia="Constantia" w:cs="Constantia"/>
          <w:b/>
          <w:bCs/>
          <w:spacing w:val="-1"/>
        </w:rPr>
        <w:t xml:space="preserve">1 </w:t>
      </w:r>
      <w:r>
        <w:rPr>
          <w:b/>
          <w:bCs/>
          <w:spacing w:val="-2"/>
        </w:rPr>
        <w:t>米，其中</w:t>
      </w:r>
      <w:r>
        <w:rPr>
          <w:spacing w:val="-27"/>
        </w:rPr>
        <w:t xml:space="preserve"> </w:t>
      </w:r>
      <w:r>
        <w:rPr>
          <w:rFonts w:ascii="Constantia" w:hAnsi="Constantia" w:eastAsia="Constantia" w:cs="Constantia"/>
          <w:b/>
          <w:bCs/>
          <w:spacing w:val="-2"/>
        </w:rPr>
        <w:t xml:space="preserve">1 </w:t>
      </w:r>
      <w:r>
        <w:rPr>
          <w:b/>
          <w:bCs/>
          <w:spacing w:val="-2"/>
        </w:rPr>
        <w:t>段作为检验样品，</w:t>
      </w:r>
      <w:r>
        <w:rPr>
          <w:rFonts w:ascii="Constantia" w:hAnsi="Constantia" w:eastAsia="Constantia" w:cs="Constantia"/>
          <w:b/>
          <w:bCs/>
          <w:spacing w:val="-2"/>
        </w:rPr>
        <w:t xml:space="preserve">1 </w:t>
      </w:r>
      <w:r>
        <w:rPr>
          <w:b/>
          <w:bCs/>
          <w:spacing w:val="-2"/>
        </w:rPr>
        <w:t>段作</w:t>
      </w:r>
      <w:r>
        <w:t xml:space="preserve">  </w:t>
      </w:r>
      <w:r>
        <w:rPr>
          <w:b/>
          <w:bCs/>
          <w:spacing w:val="-3"/>
        </w:rPr>
        <w:t>为备用样品。如每根管材的长度不足</w:t>
      </w:r>
      <w:r>
        <w:rPr>
          <w:spacing w:val="-48"/>
        </w:rPr>
        <w:t xml:space="preserve"> </w:t>
      </w:r>
      <w:r>
        <w:rPr>
          <w:rFonts w:ascii="Constantia" w:hAnsi="Constantia" w:eastAsia="Constantia" w:cs="Constantia"/>
          <w:b/>
          <w:bCs/>
          <w:spacing w:val="-3"/>
        </w:rPr>
        <w:t xml:space="preserve">2 </w:t>
      </w:r>
      <w:r>
        <w:rPr>
          <w:b/>
          <w:bCs/>
          <w:spacing w:val="-3"/>
        </w:rPr>
        <w:t>米，可以增加抽取管材根数，保证截取段数满足上述要</w:t>
      </w:r>
      <w:r>
        <w:rPr>
          <w:b/>
          <w:bCs/>
          <w:spacing w:val="-4"/>
        </w:rPr>
        <w:t>求。</w:t>
      </w:r>
    </w:p>
    <w:p w14:paraId="34B4DC44">
      <w:pPr>
        <w:spacing w:line="401" w:lineRule="auto"/>
        <w:rPr>
          <w:rFonts w:ascii="Arial"/>
          <w:sz w:val="21"/>
        </w:rPr>
      </w:pPr>
    </w:p>
    <w:p w14:paraId="5A5E992D">
      <w:pPr>
        <w:pStyle w:val="2"/>
        <w:spacing w:before="69" w:line="220" w:lineRule="auto"/>
        <w:ind w:left="117"/>
        <w:outlineLvl w:val="0"/>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35391315">
      <w:pPr>
        <w:pStyle w:val="2"/>
        <w:spacing w:before="190" w:line="220" w:lineRule="auto"/>
        <w:ind w:left="3100"/>
      </w:pPr>
      <w:r>
        <w:rPr>
          <w:b/>
          <w:bCs/>
          <w:spacing w:val="-2"/>
        </w:rPr>
        <w:t>表</w:t>
      </w:r>
      <w:r>
        <w:rPr>
          <w:spacing w:val="-23"/>
        </w:rPr>
        <w:t xml:space="preserve"> </w:t>
      </w:r>
      <w:r>
        <w:rPr>
          <w:rFonts w:ascii="Constantia" w:hAnsi="Constantia" w:eastAsia="Constantia" w:cs="Constantia"/>
          <w:b/>
          <w:bCs/>
          <w:spacing w:val="-2"/>
        </w:rPr>
        <w:t xml:space="preserve">1  </w:t>
      </w:r>
      <w:r>
        <w:rPr>
          <w:b/>
          <w:bCs/>
          <w:spacing w:val="-2"/>
        </w:rPr>
        <w:t>玻璃纤维增强塑料电缆导管</w:t>
      </w:r>
    </w:p>
    <w:p w14:paraId="7086E125">
      <w:pPr>
        <w:spacing w:line="19" w:lineRule="exact"/>
      </w:pPr>
    </w:p>
    <w:tbl>
      <w:tblPr>
        <w:tblStyle w:val="5"/>
        <w:tblW w:w="91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2917"/>
        <w:gridCol w:w="2546"/>
        <w:gridCol w:w="2551"/>
      </w:tblGrid>
      <w:tr w14:paraId="1E652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60" w:type="dxa"/>
            <w:tcBorders>
              <w:left w:val="single" w:color="000000" w:sz="6" w:space="0"/>
              <w:right w:val="single" w:color="000000" w:sz="8" w:space="0"/>
            </w:tcBorders>
            <w:vAlign w:val="top"/>
          </w:tcPr>
          <w:p w14:paraId="352797DF">
            <w:pPr>
              <w:spacing w:before="175" w:line="222" w:lineRule="auto"/>
              <w:ind w:left="364"/>
              <w:rPr>
                <w:rFonts w:ascii="宋体" w:hAnsi="宋体" w:eastAsia="宋体" w:cs="宋体"/>
                <w:sz w:val="21"/>
                <w:szCs w:val="21"/>
              </w:rPr>
            </w:pPr>
            <w:r>
              <w:rPr>
                <w:rFonts w:ascii="宋体" w:hAnsi="宋体" w:eastAsia="宋体" w:cs="宋体"/>
                <w:b/>
                <w:bCs/>
                <w:spacing w:val="-5"/>
                <w:sz w:val="21"/>
                <w:szCs w:val="21"/>
              </w:rPr>
              <w:t>序号</w:t>
            </w:r>
          </w:p>
        </w:tc>
        <w:tc>
          <w:tcPr>
            <w:tcW w:w="2917" w:type="dxa"/>
            <w:tcBorders>
              <w:left w:val="single" w:color="000000" w:sz="8" w:space="0"/>
              <w:right w:val="single" w:color="000000" w:sz="8" w:space="0"/>
            </w:tcBorders>
            <w:vAlign w:val="top"/>
          </w:tcPr>
          <w:p w14:paraId="1C6E9424">
            <w:pPr>
              <w:spacing w:before="176" w:line="220" w:lineRule="auto"/>
              <w:ind w:left="1031"/>
              <w:rPr>
                <w:rFonts w:ascii="宋体" w:hAnsi="宋体" w:eastAsia="宋体" w:cs="宋体"/>
                <w:sz w:val="21"/>
                <w:szCs w:val="21"/>
              </w:rPr>
            </w:pPr>
            <w:r>
              <w:rPr>
                <w:rFonts w:ascii="宋体" w:hAnsi="宋体" w:eastAsia="宋体" w:cs="宋体"/>
                <w:b/>
                <w:bCs/>
                <w:spacing w:val="-4"/>
                <w:sz w:val="21"/>
                <w:szCs w:val="21"/>
              </w:rPr>
              <w:t>检验项目</w:t>
            </w:r>
          </w:p>
        </w:tc>
        <w:tc>
          <w:tcPr>
            <w:tcW w:w="2546" w:type="dxa"/>
            <w:tcBorders>
              <w:left w:val="single" w:color="000000" w:sz="8" w:space="0"/>
              <w:right w:val="single" w:color="000000" w:sz="8" w:space="0"/>
            </w:tcBorders>
            <w:vAlign w:val="top"/>
          </w:tcPr>
          <w:p w14:paraId="3C2E10F0">
            <w:pPr>
              <w:spacing w:before="175" w:line="220" w:lineRule="auto"/>
              <w:ind w:left="850"/>
              <w:rPr>
                <w:rFonts w:ascii="宋体" w:hAnsi="宋体" w:eastAsia="宋体" w:cs="宋体"/>
                <w:sz w:val="21"/>
                <w:szCs w:val="21"/>
              </w:rPr>
            </w:pPr>
            <w:r>
              <w:rPr>
                <w:rFonts w:ascii="宋体" w:hAnsi="宋体" w:eastAsia="宋体" w:cs="宋体"/>
                <w:b/>
                <w:bCs/>
                <w:spacing w:val="-4"/>
                <w:sz w:val="21"/>
                <w:szCs w:val="21"/>
              </w:rPr>
              <w:t>检验依据</w:t>
            </w:r>
          </w:p>
        </w:tc>
        <w:tc>
          <w:tcPr>
            <w:tcW w:w="2551" w:type="dxa"/>
            <w:tcBorders>
              <w:left w:val="single" w:color="000000" w:sz="8" w:space="0"/>
              <w:bottom w:val="single" w:color="000000" w:sz="6" w:space="0"/>
            </w:tcBorders>
            <w:vAlign w:val="top"/>
          </w:tcPr>
          <w:p w14:paraId="5AC3DF36">
            <w:pPr>
              <w:spacing w:before="176" w:line="220" w:lineRule="auto"/>
              <w:ind w:left="850"/>
              <w:rPr>
                <w:rFonts w:ascii="宋体" w:hAnsi="宋体" w:eastAsia="宋体" w:cs="宋体"/>
                <w:sz w:val="21"/>
                <w:szCs w:val="21"/>
              </w:rPr>
            </w:pPr>
            <w:r>
              <w:rPr>
                <w:rFonts w:ascii="宋体" w:hAnsi="宋体" w:eastAsia="宋体" w:cs="宋体"/>
                <w:b/>
                <w:bCs/>
                <w:spacing w:val="-4"/>
                <w:sz w:val="21"/>
                <w:szCs w:val="21"/>
              </w:rPr>
              <w:t>检验方法</w:t>
            </w:r>
          </w:p>
        </w:tc>
      </w:tr>
      <w:tr w14:paraId="0B5C2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160" w:type="dxa"/>
            <w:tcBorders>
              <w:left w:val="single" w:color="000000" w:sz="6" w:space="0"/>
              <w:right w:val="single" w:color="000000" w:sz="8" w:space="0"/>
            </w:tcBorders>
            <w:vAlign w:val="top"/>
          </w:tcPr>
          <w:p w14:paraId="3EADC3FA">
            <w:pPr>
              <w:pStyle w:val="6"/>
              <w:spacing w:before="198" w:line="188" w:lineRule="auto"/>
              <w:ind w:left="540"/>
            </w:pPr>
            <w:r>
              <w:rPr>
                <w:b/>
                <w:bCs/>
                <w:spacing w:val="4"/>
              </w:rPr>
              <w:t>1</w:t>
            </w:r>
          </w:p>
        </w:tc>
        <w:tc>
          <w:tcPr>
            <w:tcW w:w="2917" w:type="dxa"/>
            <w:tcBorders>
              <w:left w:val="single" w:color="000000" w:sz="8" w:space="0"/>
              <w:right w:val="single" w:color="000000" w:sz="8" w:space="0"/>
            </w:tcBorders>
            <w:vAlign w:val="top"/>
          </w:tcPr>
          <w:p w14:paraId="04D74C83">
            <w:pPr>
              <w:spacing w:before="161" w:line="221" w:lineRule="auto"/>
              <w:ind w:left="1033"/>
              <w:rPr>
                <w:rFonts w:ascii="宋体" w:hAnsi="宋体" w:eastAsia="宋体" w:cs="宋体"/>
                <w:sz w:val="21"/>
                <w:szCs w:val="21"/>
              </w:rPr>
            </w:pPr>
            <w:r>
              <w:rPr>
                <w:rFonts w:ascii="宋体" w:hAnsi="宋体" w:eastAsia="宋体" w:cs="宋体"/>
                <w:b/>
                <w:bCs/>
                <w:spacing w:val="-4"/>
                <w:sz w:val="21"/>
                <w:szCs w:val="21"/>
              </w:rPr>
              <w:t>拉伸强度</w:t>
            </w:r>
          </w:p>
        </w:tc>
        <w:tc>
          <w:tcPr>
            <w:tcW w:w="2546" w:type="dxa"/>
            <w:tcBorders>
              <w:left w:val="single" w:color="000000" w:sz="8" w:space="0"/>
              <w:right w:val="single" w:color="000000" w:sz="8" w:space="0"/>
            </w:tcBorders>
            <w:vAlign w:val="top"/>
          </w:tcPr>
          <w:p w14:paraId="67EC37A2">
            <w:pPr>
              <w:pStyle w:val="6"/>
              <w:spacing w:before="194" w:line="166" w:lineRule="exact"/>
              <w:ind w:left="457"/>
            </w:pPr>
            <w:r>
              <w:rPr>
                <w:b/>
                <w:bCs/>
                <w:spacing w:val="-5"/>
                <w:position w:val="-1"/>
              </w:rPr>
              <w:t>DL/T</w:t>
            </w:r>
            <w:r>
              <w:rPr>
                <w:b/>
                <w:bCs/>
                <w:spacing w:val="25"/>
                <w:position w:val="-1"/>
              </w:rPr>
              <w:t xml:space="preserve"> </w:t>
            </w:r>
            <w:r>
              <w:rPr>
                <w:b/>
                <w:bCs/>
                <w:spacing w:val="-5"/>
                <w:position w:val="-1"/>
              </w:rPr>
              <w:t>802.2—2017</w:t>
            </w:r>
          </w:p>
        </w:tc>
        <w:tc>
          <w:tcPr>
            <w:tcW w:w="2551" w:type="dxa"/>
            <w:tcBorders>
              <w:left w:val="single" w:color="000000" w:sz="8" w:space="0"/>
              <w:bottom w:val="single" w:color="000000" w:sz="6" w:space="0"/>
            </w:tcBorders>
            <w:vAlign w:val="top"/>
          </w:tcPr>
          <w:p w14:paraId="5875A7B5">
            <w:pPr>
              <w:pStyle w:val="6"/>
              <w:spacing w:before="194" w:line="166" w:lineRule="exact"/>
              <w:ind w:left="457"/>
            </w:pPr>
            <w:r>
              <w:rPr>
                <w:b/>
                <w:bCs/>
                <w:spacing w:val="-4"/>
                <w:position w:val="-1"/>
              </w:rPr>
              <w:t>DL/T</w:t>
            </w:r>
            <w:r>
              <w:rPr>
                <w:b/>
                <w:bCs/>
                <w:spacing w:val="13"/>
                <w:position w:val="-1"/>
              </w:rPr>
              <w:t xml:space="preserve"> </w:t>
            </w:r>
            <w:r>
              <w:rPr>
                <w:b/>
                <w:bCs/>
                <w:spacing w:val="-4"/>
                <w:position w:val="-1"/>
              </w:rPr>
              <w:t>802.2—2017</w:t>
            </w:r>
          </w:p>
        </w:tc>
      </w:tr>
      <w:tr w14:paraId="571B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60" w:type="dxa"/>
            <w:tcBorders>
              <w:left w:val="single" w:color="000000" w:sz="6" w:space="0"/>
              <w:right w:val="single" w:color="000000" w:sz="8" w:space="0"/>
            </w:tcBorders>
            <w:vAlign w:val="top"/>
          </w:tcPr>
          <w:p w14:paraId="7F545E02">
            <w:pPr>
              <w:pStyle w:val="6"/>
              <w:spacing w:before="199" w:line="188" w:lineRule="auto"/>
              <w:ind w:left="519"/>
            </w:pPr>
            <w:r>
              <w:rPr>
                <w:b/>
                <w:bCs/>
              </w:rPr>
              <w:t>2</w:t>
            </w:r>
          </w:p>
        </w:tc>
        <w:tc>
          <w:tcPr>
            <w:tcW w:w="2917" w:type="dxa"/>
            <w:tcBorders>
              <w:left w:val="single" w:color="000000" w:sz="8" w:space="0"/>
              <w:right w:val="single" w:color="000000" w:sz="8" w:space="0"/>
            </w:tcBorders>
            <w:vAlign w:val="top"/>
          </w:tcPr>
          <w:p w14:paraId="24857278">
            <w:pPr>
              <w:spacing w:before="163" w:line="220" w:lineRule="auto"/>
              <w:ind w:left="717"/>
              <w:rPr>
                <w:rFonts w:ascii="宋体" w:hAnsi="宋体" w:eastAsia="宋体" w:cs="宋体"/>
                <w:sz w:val="21"/>
                <w:szCs w:val="21"/>
              </w:rPr>
            </w:pPr>
            <w:r>
              <w:rPr>
                <w:rFonts w:ascii="宋体" w:hAnsi="宋体" w:eastAsia="宋体" w:cs="宋体"/>
                <w:b/>
                <w:bCs/>
                <w:spacing w:val="-3"/>
                <w:sz w:val="21"/>
                <w:szCs w:val="21"/>
              </w:rPr>
              <w:t>浸水后拉伸强度</w:t>
            </w:r>
          </w:p>
        </w:tc>
        <w:tc>
          <w:tcPr>
            <w:tcW w:w="2546" w:type="dxa"/>
            <w:tcBorders>
              <w:left w:val="single" w:color="000000" w:sz="8" w:space="0"/>
              <w:right w:val="single" w:color="000000" w:sz="8" w:space="0"/>
            </w:tcBorders>
            <w:vAlign w:val="top"/>
          </w:tcPr>
          <w:p w14:paraId="0F367445">
            <w:pPr>
              <w:pStyle w:val="6"/>
              <w:spacing w:before="195" w:line="166" w:lineRule="exact"/>
              <w:ind w:left="457"/>
            </w:pPr>
            <w:r>
              <w:rPr>
                <w:b/>
                <w:bCs/>
                <w:spacing w:val="-5"/>
                <w:position w:val="-1"/>
              </w:rPr>
              <w:t>DL/T</w:t>
            </w:r>
            <w:r>
              <w:rPr>
                <w:b/>
                <w:bCs/>
                <w:spacing w:val="25"/>
                <w:position w:val="-1"/>
              </w:rPr>
              <w:t xml:space="preserve"> </w:t>
            </w:r>
            <w:r>
              <w:rPr>
                <w:b/>
                <w:bCs/>
                <w:spacing w:val="-5"/>
                <w:position w:val="-1"/>
              </w:rPr>
              <w:t>802.2—2017</w:t>
            </w:r>
          </w:p>
        </w:tc>
        <w:tc>
          <w:tcPr>
            <w:tcW w:w="2551" w:type="dxa"/>
            <w:tcBorders>
              <w:left w:val="single" w:color="000000" w:sz="8" w:space="0"/>
              <w:bottom w:val="single" w:color="000000" w:sz="6" w:space="0"/>
            </w:tcBorders>
            <w:vAlign w:val="top"/>
          </w:tcPr>
          <w:p w14:paraId="19003226">
            <w:pPr>
              <w:pStyle w:val="6"/>
              <w:spacing w:before="195" w:line="166" w:lineRule="exact"/>
              <w:ind w:left="457"/>
            </w:pPr>
            <w:r>
              <w:rPr>
                <w:b/>
                <w:bCs/>
                <w:spacing w:val="-4"/>
                <w:position w:val="-1"/>
              </w:rPr>
              <w:t>DL/T</w:t>
            </w:r>
            <w:r>
              <w:rPr>
                <w:b/>
                <w:bCs/>
                <w:spacing w:val="13"/>
                <w:position w:val="-1"/>
              </w:rPr>
              <w:t xml:space="preserve"> </w:t>
            </w:r>
            <w:r>
              <w:rPr>
                <w:b/>
                <w:bCs/>
                <w:spacing w:val="-4"/>
                <w:position w:val="-1"/>
              </w:rPr>
              <w:t>802.2—2017</w:t>
            </w:r>
          </w:p>
        </w:tc>
      </w:tr>
      <w:tr w14:paraId="6A570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160" w:type="dxa"/>
            <w:tcBorders>
              <w:left w:val="single" w:color="000000" w:sz="6" w:space="0"/>
              <w:right w:val="single" w:color="000000" w:sz="8" w:space="0"/>
            </w:tcBorders>
            <w:vAlign w:val="top"/>
          </w:tcPr>
          <w:p w14:paraId="7BDD68C1">
            <w:pPr>
              <w:spacing w:line="354" w:lineRule="auto"/>
              <w:rPr>
                <w:rFonts w:ascii="Arial"/>
                <w:sz w:val="21"/>
              </w:rPr>
            </w:pPr>
          </w:p>
          <w:p w14:paraId="56A13483">
            <w:pPr>
              <w:pStyle w:val="6"/>
              <w:spacing w:before="64" w:line="157" w:lineRule="exact"/>
              <w:ind w:left="524"/>
            </w:pPr>
            <w:r>
              <w:rPr>
                <w:b/>
                <w:bCs/>
                <w:spacing w:val="1"/>
                <w:position w:val="2"/>
              </w:rPr>
              <w:t>3</w:t>
            </w:r>
          </w:p>
        </w:tc>
        <w:tc>
          <w:tcPr>
            <w:tcW w:w="2917" w:type="dxa"/>
            <w:tcBorders>
              <w:left w:val="single" w:color="000000" w:sz="8" w:space="0"/>
              <w:right w:val="single" w:color="000000" w:sz="8" w:space="0"/>
            </w:tcBorders>
            <w:vAlign w:val="top"/>
          </w:tcPr>
          <w:p w14:paraId="289FE0C7">
            <w:pPr>
              <w:spacing w:line="314" w:lineRule="auto"/>
              <w:rPr>
                <w:rFonts w:ascii="Arial"/>
                <w:sz w:val="21"/>
              </w:rPr>
            </w:pPr>
          </w:p>
          <w:p w14:paraId="73D8EE90">
            <w:pPr>
              <w:spacing w:before="68" w:line="221" w:lineRule="auto"/>
              <w:ind w:left="1053"/>
              <w:rPr>
                <w:rFonts w:ascii="宋体" w:hAnsi="宋体" w:eastAsia="宋体" w:cs="宋体"/>
                <w:sz w:val="21"/>
                <w:szCs w:val="21"/>
              </w:rPr>
            </w:pPr>
            <w:r>
              <w:rPr>
                <w:rFonts w:ascii="宋体" w:hAnsi="宋体" w:eastAsia="宋体" w:cs="宋体"/>
                <w:b/>
                <w:bCs/>
                <w:spacing w:val="-9"/>
                <w:sz w:val="21"/>
                <w:szCs w:val="21"/>
              </w:rPr>
              <w:t>巴氏硬度</w:t>
            </w:r>
          </w:p>
        </w:tc>
        <w:tc>
          <w:tcPr>
            <w:tcW w:w="2546" w:type="dxa"/>
            <w:tcBorders>
              <w:left w:val="single" w:color="000000" w:sz="8" w:space="0"/>
              <w:right w:val="single" w:color="000000" w:sz="8" w:space="0"/>
            </w:tcBorders>
            <w:vAlign w:val="top"/>
          </w:tcPr>
          <w:p w14:paraId="7E0129D8">
            <w:pPr>
              <w:spacing w:line="351" w:lineRule="auto"/>
              <w:rPr>
                <w:rFonts w:ascii="Arial"/>
                <w:sz w:val="21"/>
              </w:rPr>
            </w:pPr>
          </w:p>
          <w:p w14:paraId="3C1DACB1">
            <w:pPr>
              <w:pStyle w:val="6"/>
              <w:spacing w:before="64" w:line="165" w:lineRule="exact"/>
              <w:ind w:left="457"/>
            </w:pPr>
            <w:r>
              <w:rPr>
                <w:b/>
                <w:bCs/>
                <w:spacing w:val="-5"/>
                <w:position w:val="-1"/>
              </w:rPr>
              <w:t>DL/T</w:t>
            </w:r>
            <w:r>
              <w:rPr>
                <w:b/>
                <w:bCs/>
                <w:spacing w:val="25"/>
                <w:position w:val="-1"/>
              </w:rPr>
              <w:t xml:space="preserve"> </w:t>
            </w:r>
            <w:r>
              <w:rPr>
                <w:b/>
                <w:bCs/>
                <w:spacing w:val="-5"/>
                <w:position w:val="-1"/>
              </w:rPr>
              <w:t>802.2—2017</w:t>
            </w:r>
          </w:p>
        </w:tc>
        <w:tc>
          <w:tcPr>
            <w:tcW w:w="2551" w:type="dxa"/>
            <w:tcBorders>
              <w:left w:val="single" w:color="000000" w:sz="8" w:space="0"/>
              <w:bottom w:val="single" w:color="000000" w:sz="6" w:space="0"/>
            </w:tcBorders>
            <w:vAlign w:val="top"/>
          </w:tcPr>
          <w:p w14:paraId="1FBE50BF">
            <w:pPr>
              <w:pStyle w:val="6"/>
              <w:spacing w:before="197" w:line="312" w:lineRule="auto"/>
              <w:ind w:left="482" w:right="464" w:hanging="25"/>
            </w:pPr>
            <w:r>
              <w:rPr>
                <w:b/>
                <w:bCs/>
                <w:spacing w:val="-4"/>
              </w:rPr>
              <w:t>DL/T</w:t>
            </w:r>
            <w:r>
              <w:rPr>
                <w:b/>
                <w:bCs/>
                <w:spacing w:val="13"/>
              </w:rPr>
              <w:t xml:space="preserve"> </w:t>
            </w:r>
            <w:r>
              <w:rPr>
                <w:b/>
                <w:bCs/>
                <w:spacing w:val="-4"/>
              </w:rPr>
              <w:t>802.2—2017</w:t>
            </w:r>
            <w:r>
              <w:rPr>
                <w:b/>
                <w:bCs/>
              </w:rPr>
              <w:t xml:space="preserve"> </w:t>
            </w:r>
            <w:r>
              <w:rPr>
                <w:b/>
                <w:bCs/>
                <w:spacing w:val="-1"/>
              </w:rPr>
              <w:t>GB/T 3854—2017</w:t>
            </w:r>
          </w:p>
        </w:tc>
      </w:tr>
      <w:tr w14:paraId="2985F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160" w:type="dxa"/>
            <w:tcBorders>
              <w:left w:val="single" w:color="000000" w:sz="6" w:space="0"/>
              <w:right w:val="single" w:color="000000" w:sz="8" w:space="0"/>
            </w:tcBorders>
            <w:vAlign w:val="top"/>
          </w:tcPr>
          <w:p w14:paraId="5060B24F">
            <w:pPr>
              <w:spacing w:line="356" w:lineRule="auto"/>
              <w:rPr>
                <w:rFonts w:ascii="Arial"/>
                <w:sz w:val="21"/>
              </w:rPr>
            </w:pPr>
          </w:p>
          <w:p w14:paraId="1D49BC91">
            <w:pPr>
              <w:pStyle w:val="6"/>
              <w:spacing w:before="64" w:line="157" w:lineRule="exact"/>
              <w:ind w:left="518"/>
            </w:pPr>
            <w:r>
              <w:rPr>
                <w:b/>
                <w:bCs/>
                <w:position w:val="2"/>
              </w:rPr>
              <w:t>4</w:t>
            </w:r>
          </w:p>
        </w:tc>
        <w:tc>
          <w:tcPr>
            <w:tcW w:w="2917" w:type="dxa"/>
            <w:tcBorders>
              <w:left w:val="single" w:color="000000" w:sz="8" w:space="0"/>
              <w:right w:val="single" w:color="000000" w:sz="8" w:space="0"/>
            </w:tcBorders>
            <w:vAlign w:val="top"/>
          </w:tcPr>
          <w:p w14:paraId="53F19833">
            <w:pPr>
              <w:spacing w:line="315" w:lineRule="auto"/>
              <w:rPr>
                <w:rFonts w:ascii="Arial"/>
                <w:sz w:val="21"/>
              </w:rPr>
            </w:pPr>
          </w:p>
          <w:p w14:paraId="73A0CB83">
            <w:pPr>
              <w:pStyle w:val="6"/>
              <w:spacing w:before="68" w:line="198" w:lineRule="auto"/>
              <w:ind w:left="786"/>
              <w:rPr>
                <w:rFonts w:ascii="宋体" w:hAnsi="宋体" w:eastAsia="宋体" w:cs="宋体"/>
              </w:rPr>
            </w:pPr>
            <w:r>
              <w:rPr>
                <w:rFonts w:ascii="宋体" w:hAnsi="宋体" w:eastAsia="宋体" w:cs="宋体"/>
                <w:b/>
                <w:bCs/>
                <w:spacing w:val="-1"/>
              </w:rPr>
              <w:t>环刚度（</w:t>
            </w:r>
            <w:r>
              <w:rPr>
                <w:b/>
                <w:bCs/>
                <w:spacing w:val="-1"/>
              </w:rPr>
              <w:t>5%</w:t>
            </w:r>
            <w:r>
              <w:rPr>
                <w:rFonts w:ascii="宋体" w:hAnsi="宋体" w:eastAsia="宋体" w:cs="宋体"/>
                <w:b/>
                <w:bCs/>
                <w:spacing w:val="-1"/>
              </w:rPr>
              <w:t>）</w:t>
            </w:r>
          </w:p>
        </w:tc>
        <w:tc>
          <w:tcPr>
            <w:tcW w:w="2546" w:type="dxa"/>
            <w:tcBorders>
              <w:left w:val="single" w:color="000000" w:sz="8" w:space="0"/>
              <w:right w:val="single" w:color="000000" w:sz="8" w:space="0"/>
            </w:tcBorders>
            <w:vAlign w:val="top"/>
          </w:tcPr>
          <w:p w14:paraId="7F9F0561">
            <w:pPr>
              <w:spacing w:line="352" w:lineRule="auto"/>
              <w:rPr>
                <w:rFonts w:ascii="Arial"/>
                <w:sz w:val="21"/>
              </w:rPr>
            </w:pPr>
          </w:p>
          <w:p w14:paraId="72C460A9">
            <w:pPr>
              <w:pStyle w:val="6"/>
              <w:spacing w:before="64" w:line="166" w:lineRule="exact"/>
              <w:ind w:left="457"/>
            </w:pPr>
            <w:r>
              <w:rPr>
                <w:b/>
                <w:bCs/>
                <w:spacing w:val="-4"/>
                <w:position w:val="-1"/>
              </w:rPr>
              <w:t>DL/T</w:t>
            </w:r>
            <w:r>
              <w:rPr>
                <w:b/>
                <w:bCs/>
                <w:spacing w:val="13"/>
                <w:position w:val="-1"/>
              </w:rPr>
              <w:t xml:space="preserve"> </w:t>
            </w:r>
            <w:r>
              <w:rPr>
                <w:b/>
                <w:bCs/>
                <w:spacing w:val="-4"/>
                <w:position w:val="-1"/>
              </w:rPr>
              <w:t>802.2—2017</w:t>
            </w:r>
          </w:p>
        </w:tc>
        <w:tc>
          <w:tcPr>
            <w:tcW w:w="2551" w:type="dxa"/>
            <w:tcBorders>
              <w:left w:val="single" w:color="000000" w:sz="8" w:space="0"/>
            </w:tcBorders>
            <w:vAlign w:val="top"/>
          </w:tcPr>
          <w:p w14:paraId="5BFC3175">
            <w:pPr>
              <w:pStyle w:val="6"/>
              <w:spacing w:before="197" w:line="312" w:lineRule="auto"/>
              <w:ind w:left="482" w:right="464" w:hanging="25"/>
            </w:pPr>
            <w:r>
              <w:rPr>
                <w:b/>
                <w:bCs/>
                <w:spacing w:val="-4"/>
              </w:rPr>
              <w:t>DL/T</w:t>
            </w:r>
            <w:r>
              <w:rPr>
                <w:b/>
                <w:bCs/>
                <w:spacing w:val="13"/>
              </w:rPr>
              <w:t xml:space="preserve"> </w:t>
            </w:r>
            <w:r>
              <w:rPr>
                <w:b/>
                <w:bCs/>
                <w:spacing w:val="-4"/>
              </w:rPr>
              <w:t>802.2—2017</w:t>
            </w:r>
            <w:r>
              <w:rPr>
                <w:b/>
                <w:bCs/>
              </w:rPr>
              <w:t xml:space="preserve"> </w:t>
            </w:r>
            <w:r>
              <w:rPr>
                <w:b/>
                <w:bCs/>
                <w:spacing w:val="-3"/>
              </w:rPr>
              <w:t>GB/T 5352—2005</w:t>
            </w:r>
          </w:p>
        </w:tc>
      </w:tr>
      <w:tr w14:paraId="31DF7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60" w:type="dxa"/>
            <w:vAlign w:val="top"/>
          </w:tcPr>
          <w:p w14:paraId="1D0CA5C2">
            <w:pPr>
              <w:pStyle w:val="6"/>
              <w:spacing w:before="216" w:line="153" w:lineRule="exact"/>
              <w:ind w:left="530"/>
            </w:pPr>
            <w:r>
              <w:rPr>
                <w:b/>
                <w:bCs/>
                <w:position w:val="2"/>
              </w:rPr>
              <w:t>5</w:t>
            </w:r>
          </w:p>
        </w:tc>
        <w:tc>
          <w:tcPr>
            <w:tcW w:w="2917" w:type="dxa"/>
            <w:vAlign w:val="top"/>
          </w:tcPr>
          <w:p w14:paraId="57BAD251">
            <w:pPr>
              <w:spacing w:before="176" w:line="222" w:lineRule="auto"/>
              <w:ind w:left="1040"/>
              <w:rPr>
                <w:rFonts w:ascii="宋体" w:hAnsi="宋体" w:eastAsia="宋体" w:cs="宋体"/>
                <w:sz w:val="21"/>
                <w:szCs w:val="21"/>
              </w:rPr>
            </w:pPr>
            <w:r>
              <w:rPr>
                <w:rFonts w:ascii="宋体" w:hAnsi="宋体" w:eastAsia="宋体" w:cs="宋体"/>
                <w:b/>
                <w:bCs/>
                <w:spacing w:val="-4"/>
                <w:sz w:val="21"/>
                <w:szCs w:val="21"/>
              </w:rPr>
              <w:t>落锤冲击</w:t>
            </w:r>
          </w:p>
        </w:tc>
        <w:tc>
          <w:tcPr>
            <w:tcW w:w="2546" w:type="dxa"/>
            <w:vAlign w:val="top"/>
          </w:tcPr>
          <w:p w14:paraId="5803CE98">
            <w:pPr>
              <w:pStyle w:val="6"/>
              <w:spacing w:before="209" w:line="166" w:lineRule="exact"/>
              <w:ind w:left="465"/>
            </w:pPr>
            <w:r>
              <w:rPr>
                <w:b/>
                <w:bCs/>
                <w:spacing w:val="-5"/>
                <w:position w:val="-1"/>
              </w:rPr>
              <w:t>DL/T</w:t>
            </w:r>
            <w:r>
              <w:rPr>
                <w:b/>
                <w:bCs/>
                <w:spacing w:val="25"/>
                <w:position w:val="-1"/>
              </w:rPr>
              <w:t xml:space="preserve"> </w:t>
            </w:r>
            <w:r>
              <w:rPr>
                <w:b/>
                <w:bCs/>
                <w:spacing w:val="-5"/>
                <w:position w:val="-1"/>
              </w:rPr>
              <w:t>802.2—2017</w:t>
            </w:r>
          </w:p>
        </w:tc>
        <w:tc>
          <w:tcPr>
            <w:tcW w:w="2551" w:type="dxa"/>
            <w:vAlign w:val="top"/>
          </w:tcPr>
          <w:p w14:paraId="38EF8B22">
            <w:pPr>
              <w:pStyle w:val="6"/>
              <w:spacing w:before="209" w:line="166" w:lineRule="exact"/>
              <w:ind w:left="464"/>
            </w:pPr>
            <w:r>
              <w:rPr>
                <w:b/>
                <w:bCs/>
                <w:spacing w:val="-4"/>
                <w:position w:val="-1"/>
              </w:rPr>
              <w:t>DL/T</w:t>
            </w:r>
            <w:r>
              <w:rPr>
                <w:b/>
                <w:bCs/>
                <w:spacing w:val="13"/>
                <w:position w:val="-1"/>
              </w:rPr>
              <w:t xml:space="preserve"> </w:t>
            </w:r>
            <w:r>
              <w:rPr>
                <w:b/>
                <w:bCs/>
                <w:spacing w:val="-4"/>
                <w:position w:val="-1"/>
              </w:rPr>
              <w:t>802.2—2017</w:t>
            </w:r>
          </w:p>
        </w:tc>
      </w:tr>
    </w:tbl>
    <w:p w14:paraId="16854027">
      <w:pPr>
        <w:spacing w:line="270" w:lineRule="auto"/>
        <w:rPr>
          <w:rFonts w:ascii="Arial"/>
          <w:sz w:val="21"/>
        </w:rPr>
      </w:pPr>
    </w:p>
    <w:p w14:paraId="4FD8EE03">
      <w:pPr>
        <w:spacing w:line="271" w:lineRule="auto"/>
        <w:rPr>
          <w:rFonts w:ascii="Arial"/>
          <w:sz w:val="21"/>
        </w:rPr>
      </w:pPr>
    </w:p>
    <w:p w14:paraId="788DFB23">
      <w:pPr>
        <w:pStyle w:val="2"/>
        <w:spacing w:before="69" w:line="220" w:lineRule="auto"/>
        <w:ind w:left="3312"/>
      </w:pPr>
      <w:r>
        <w:rPr>
          <w:b/>
          <w:bCs/>
          <w:spacing w:val="-3"/>
        </w:rPr>
        <w:t>表</w:t>
      </w:r>
      <w:r>
        <w:rPr>
          <w:spacing w:val="-35"/>
        </w:rPr>
        <w:t xml:space="preserve"> </w:t>
      </w:r>
      <w:r>
        <w:rPr>
          <w:rFonts w:ascii="Constantia" w:hAnsi="Constantia" w:eastAsia="Constantia" w:cs="Constantia"/>
          <w:b/>
          <w:bCs/>
          <w:spacing w:val="-3"/>
        </w:rPr>
        <w:t xml:space="preserve">2  </w:t>
      </w:r>
      <w:r>
        <w:rPr>
          <w:b/>
          <w:bCs/>
          <w:spacing w:val="-3"/>
        </w:rPr>
        <w:t>非开挖用塑料电缆导管</w:t>
      </w:r>
    </w:p>
    <w:p w14:paraId="5D427ACA">
      <w:pPr>
        <w:spacing w:line="18" w:lineRule="exact"/>
      </w:pPr>
    </w:p>
    <w:tbl>
      <w:tblPr>
        <w:tblStyle w:val="5"/>
        <w:tblW w:w="91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2917"/>
        <w:gridCol w:w="2546"/>
        <w:gridCol w:w="2551"/>
      </w:tblGrid>
      <w:tr w14:paraId="52151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0" w:type="dxa"/>
            <w:tcBorders>
              <w:left w:val="single" w:color="000000" w:sz="6" w:space="0"/>
              <w:right w:val="single" w:color="000000" w:sz="8" w:space="0"/>
            </w:tcBorders>
            <w:vAlign w:val="top"/>
          </w:tcPr>
          <w:p w14:paraId="49F43087">
            <w:pPr>
              <w:spacing w:before="175" w:line="222" w:lineRule="auto"/>
              <w:ind w:left="364"/>
              <w:rPr>
                <w:rFonts w:ascii="宋体" w:hAnsi="宋体" w:eastAsia="宋体" w:cs="宋体"/>
                <w:sz w:val="21"/>
                <w:szCs w:val="21"/>
              </w:rPr>
            </w:pPr>
            <w:r>
              <w:rPr>
                <w:rFonts w:ascii="宋体" w:hAnsi="宋体" w:eastAsia="宋体" w:cs="宋体"/>
                <w:b/>
                <w:bCs/>
                <w:spacing w:val="-5"/>
                <w:sz w:val="21"/>
                <w:szCs w:val="21"/>
              </w:rPr>
              <w:t>序号</w:t>
            </w:r>
          </w:p>
        </w:tc>
        <w:tc>
          <w:tcPr>
            <w:tcW w:w="2917" w:type="dxa"/>
            <w:tcBorders>
              <w:left w:val="single" w:color="000000" w:sz="8" w:space="0"/>
              <w:right w:val="single" w:color="000000" w:sz="8" w:space="0"/>
            </w:tcBorders>
            <w:vAlign w:val="top"/>
          </w:tcPr>
          <w:p w14:paraId="790BB241">
            <w:pPr>
              <w:spacing w:before="176" w:line="220" w:lineRule="auto"/>
              <w:ind w:left="1031"/>
              <w:rPr>
                <w:rFonts w:ascii="宋体" w:hAnsi="宋体" w:eastAsia="宋体" w:cs="宋体"/>
                <w:sz w:val="21"/>
                <w:szCs w:val="21"/>
              </w:rPr>
            </w:pPr>
            <w:r>
              <w:rPr>
                <w:rFonts w:ascii="宋体" w:hAnsi="宋体" w:eastAsia="宋体" w:cs="宋体"/>
                <w:b/>
                <w:bCs/>
                <w:spacing w:val="-4"/>
                <w:sz w:val="21"/>
                <w:szCs w:val="21"/>
              </w:rPr>
              <w:t>检验项目</w:t>
            </w:r>
          </w:p>
        </w:tc>
        <w:tc>
          <w:tcPr>
            <w:tcW w:w="2546" w:type="dxa"/>
            <w:tcBorders>
              <w:left w:val="single" w:color="000000" w:sz="8" w:space="0"/>
              <w:right w:val="single" w:color="000000" w:sz="8" w:space="0"/>
            </w:tcBorders>
            <w:vAlign w:val="top"/>
          </w:tcPr>
          <w:p w14:paraId="2D2D4610">
            <w:pPr>
              <w:spacing w:before="175" w:line="220" w:lineRule="auto"/>
              <w:ind w:left="850"/>
              <w:rPr>
                <w:rFonts w:ascii="宋体" w:hAnsi="宋体" w:eastAsia="宋体" w:cs="宋体"/>
                <w:sz w:val="21"/>
                <w:szCs w:val="21"/>
              </w:rPr>
            </w:pPr>
            <w:r>
              <w:rPr>
                <w:rFonts w:ascii="宋体" w:hAnsi="宋体" w:eastAsia="宋体" w:cs="宋体"/>
                <w:b/>
                <w:bCs/>
                <w:spacing w:val="-4"/>
                <w:sz w:val="21"/>
                <w:szCs w:val="21"/>
              </w:rPr>
              <w:t>检验依据</w:t>
            </w:r>
          </w:p>
        </w:tc>
        <w:tc>
          <w:tcPr>
            <w:tcW w:w="2551" w:type="dxa"/>
            <w:tcBorders>
              <w:left w:val="single" w:color="000000" w:sz="8" w:space="0"/>
              <w:bottom w:val="single" w:color="000000" w:sz="6" w:space="0"/>
            </w:tcBorders>
            <w:vAlign w:val="top"/>
          </w:tcPr>
          <w:p w14:paraId="2033E6DA">
            <w:pPr>
              <w:spacing w:before="176" w:line="220" w:lineRule="auto"/>
              <w:ind w:left="850"/>
              <w:rPr>
                <w:rFonts w:ascii="宋体" w:hAnsi="宋体" w:eastAsia="宋体" w:cs="宋体"/>
                <w:sz w:val="21"/>
                <w:szCs w:val="21"/>
              </w:rPr>
            </w:pPr>
            <w:r>
              <w:rPr>
                <w:rFonts w:ascii="宋体" w:hAnsi="宋体" w:eastAsia="宋体" w:cs="宋体"/>
                <w:b/>
                <w:bCs/>
                <w:spacing w:val="-4"/>
                <w:sz w:val="21"/>
                <w:szCs w:val="21"/>
              </w:rPr>
              <w:t>检验方法</w:t>
            </w:r>
          </w:p>
        </w:tc>
      </w:tr>
      <w:tr w14:paraId="4F6D4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60" w:type="dxa"/>
            <w:tcBorders>
              <w:left w:val="single" w:color="000000" w:sz="6" w:space="0"/>
              <w:right w:val="single" w:color="000000" w:sz="8" w:space="0"/>
            </w:tcBorders>
            <w:vAlign w:val="top"/>
          </w:tcPr>
          <w:p w14:paraId="3EA96BA8">
            <w:pPr>
              <w:pStyle w:val="6"/>
              <w:spacing w:before="197" w:line="188" w:lineRule="auto"/>
              <w:ind w:left="540"/>
            </w:pPr>
            <w:r>
              <w:rPr>
                <w:b/>
                <w:bCs/>
                <w:spacing w:val="4"/>
              </w:rPr>
              <w:t>1</w:t>
            </w:r>
          </w:p>
        </w:tc>
        <w:tc>
          <w:tcPr>
            <w:tcW w:w="2917" w:type="dxa"/>
            <w:tcBorders>
              <w:left w:val="single" w:color="000000" w:sz="8" w:space="0"/>
              <w:right w:val="single" w:color="000000" w:sz="8" w:space="0"/>
            </w:tcBorders>
            <w:vAlign w:val="top"/>
          </w:tcPr>
          <w:p w14:paraId="6A5FBBA0">
            <w:pPr>
              <w:spacing w:before="161" w:line="221" w:lineRule="auto"/>
              <w:ind w:left="1243"/>
              <w:rPr>
                <w:rFonts w:ascii="宋体" w:hAnsi="宋体" w:eastAsia="宋体" w:cs="宋体"/>
                <w:sz w:val="21"/>
                <w:szCs w:val="21"/>
              </w:rPr>
            </w:pPr>
            <w:r>
              <w:rPr>
                <w:rFonts w:ascii="宋体" w:hAnsi="宋体" w:eastAsia="宋体" w:cs="宋体"/>
                <w:b/>
                <w:bCs/>
                <w:spacing w:val="-6"/>
                <w:sz w:val="21"/>
                <w:szCs w:val="21"/>
              </w:rPr>
              <w:t>密度</w:t>
            </w:r>
          </w:p>
        </w:tc>
        <w:tc>
          <w:tcPr>
            <w:tcW w:w="2546" w:type="dxa"/>
            <w:tcBorders>
              <w:left w:val="single" w:color="000000" w:sz="8" w:space="0"/>
              <w:right w:val="single" w:color="000000" w:sz="8" w:space="0"/>
            </w:tcBorders>
            <w:vAlign w:val="top"/>
          </w:tcPr>
          <w:p w14:paraId="6C8FC10C">
            <w:pPr>
              <w:pStyle w:val="6"/>
              <w:spacing w:before="193" w:line="161" w:lineRule="exact"/>
              <w:ind w:left="456"/>
            </w:pPr>
            <w:r>
              <w:rPr>
                <w:b/>
                <w:bCs/>
                <w:spacing w:val="-6"/>
                <w:position w:val="-2"/>
              </w:rPr>
              <w:t>DL/T</w:t>
            </w:r>
            <w:r>
              <w:rPr>
                <w:b/>
                <w:bCs/>
                <w:spacing w:val="23"/>
                <w:w w:val="101"/>
                <w:position w:val="-2"/>
              </w:rPr>
              <w:t xml:space="preserve"> </w:t>
            </w:r>
            <w:r>
              <w:rPr>
                <w:b/>
                <w:bCs/>
                <w:spacing w:val="-6"/>
                <w:position w:val="-2"/>
              </w:rPr>
              <w:t>802.7—2023</w:t>
            </w:r>
          </w:p>
        </w:tc>
        <w:tc>
          <w:tcPr>
            <w:tcW w:w="2551" w:type="dxa"/>
            <w:tcBorders>
              <w:left w:val="single" w:color="000000" w:sz="8" w:space="0"/>
              <w:bottom w:val="single" w:color="000000" w:sz="6" w:space="0"/>
            </w:tcBorders>
            <w:vAlign w:val="top"/>
          </w:tcPr>
          <w:p w14:paraId="360BCE91">
            <w:pPr>
              <w:pStyle w:val="6"/>
              <w:spacing w:before="193" w:line="161" w:lineRule="exact"/>
              <w:ind w:left="456"/>
            </w:pPr>
            <w:r>
              <w:rPr>
                <w:b/>
                <w:bCs/>
                <w:spacing w:val="-4"/>
                <w:position w:val="-2"/>
              </w:rPr>
              <w:t>DL/T</w:t>
            </w:r>
            <w:r>
              <w:rPr>
                <w:b/>
                <w:bCs/>
                <w:spacing w:val="16"/>
                <w:position w:val="-2"/>
              </w:rPr>
              <w:t xml:space="preserve"> </w:t>
            </w:r>
            <w:r>
              <w:rPr>
                <w:b/>
                <w:bCs/>
                <w:spacing w:val="-4"/>
                <w:position w:val="-2"/>
              </w:rPr>
              <w:t>802.1—2023</w:t>
            </w:r>
          </w:p>
        </w:tc>
      </w:tr>
      <w:tr w14:paraId="45E7A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160" w:type="dxa"/>
            <w:tcBorders>
              <w:left w:val="single" w:color="000000" w:sz="6" w:space="0"/>
              <w:right w:val="single" w:color="000000" w:sz="8" w:space="0"/>
            </w:tcBorders>
            <w:vAlign w:val="top"/>
          </w:tcPr>
          <w:p w14:paraId="608631A0">
            <w:pPr>
              <w:pStyle w:val="6"/>
              <w:spacing w:before="199" w:line="188" w:lineRule="auto"/>
              <w:ind w:left="519"/>
            </w:pPr>
            <w:r>
              <w:rPr>
                <w:b/>
                <w:bCs/>
              </w:rPr>
              <w:t>2</w:t>
            </w:r>
          </w:p>
        </w:tc>
        <w:tc>
          <w:tcPr>
            <w:tcW w:w="2917" w:type="dxa"/>
            <w:tcBorders>
              <w:left w:val="single" w:color="000000" w:sz="8" w:space="0"/>
              <w:right w:val="single" w:color="000000" w:sz="8" w:space="0"/>
            </w:tcBorders>
            <w:vAlign w:val="top"/>
          </w:tcPr>
          <w:p w14:paraId="5599032D">
            <w:pPr>
              <w:spacing w:before="163" w:line="221" w:lineRule="auto"/>
              <w:ind w:left="1137"/>
              <w:rPr>
                <w:rFonts w:ascii="宋体" w:hAnsi="宋体" w:eastAsia="宋体" w:cs="宋体"/>
                <w:sz w:val="21"/>
                <w:szCs w:val="21"/>
              </w:rPr>
            </w:pPr>
            <w:r>
              <w:rPr>
                <w:rFonts w:ascii="宋体" w:hAnsi="宋体" w:eastAsia="宋体" w:cs="宋体"/>
                <w:b/>
                <w:bCs/>
                <w:spacing w:val="-4"/>
                <w:sz w:val="21"/>
                <w:szCs w:val="21"/>
              </w:rPr>
              <w:t>环刚度</w:t>
            </w:r>
          </w:p>
        </w:tc>
        <w:tc>
          <w:tcPr>
            <w:tcW w:w="2546" w:type="dxa"/>
            <w:tcBorders>
              <w:left w:val="single" w:color="000000" w:sz="8" w:space="0"/>
              <w:right w:val="single" w:color="000000" w:sz="8" w:space="0"/>
            </w:tcBorders>
            <w:vAlign w:val="top"/>
          </w:tcPr>
          <w:p w14:paraId="5F62733A">
            <w:pPr>
              <w:pStyle w:val="6"/>
              <w:spacing w:before="195" w:line="161" w:lineRule="exact"/>
              <w:ind w:left="456"/>
            </w:pPr>
            <w:r>
              <w:rPr>
                <w:b/>
                <w:bCs/>
                <w:spacing w:val="-6"/>
                <w:position w:val="-2"/>
              </w:rPr>
              <w:t>DL/T</w:t>
            </w:r>
            <w:r>
              <w:rPr>
                <w:b/>
                <w:bCs/>
                <w:spacing w:val="23"/>
                <w:w w:val="101"/>
                <w:position w:val="-2"/>
              </w:rPr>
              <w:t xml:space="preserve"> </w:t>
            </w:r>
            <w:r>
              <w:rPr>
                <w:b/>
                <w:bCs/>
                <w:spacing w:val="-6"/>
                <w:position w:val="-2"/>
              </w:rPr>
              <w:t>802.7—2023</w:t>
            </w:r>
          </w:p>
        </w:tc>
        <w:tc>
          <w:tcPr>
            <w:tcW w:w="2551" w:type="dxa"/>
            <w:tcBorders>
              <w:left w:val="single" w:color="000000" w:sz="8" w:space="0"/>
              <w:bottom w:val="single" w:color="000000" w:sz="6" w:space="0"/>
            </w:tcBorders>
            <w:vAlign w:val="top"/>
          </w:tcPr>
          <w:p w14:paraId="0C7B5C4E">
            <w:pPr>
              <w:pStyle w:val="6"/>
              <w:spacing w:before="195" w:line="161" w:lineRule="exact"/>
              <w:ind w:left="456"/>
            </w:pPr>
            <w:r>
              <w:rPr>
                <w:b/>
                <w:bCs/>
                <w:spacing w:val="-4"/>
                <w:position w:val="-2"/>
              </w:rPr>
              <w:t>DL/T</w:t>
            </w:r>
            <w:r>
              <w:rPr>
                <w:b/>
                <w:bCs/>
                <w:spacing w:val="16"/>
                <w:position w:val="-2"/>
              </w:rPr>
              <w:t xml:space="preserve"> </w:t>
            </w:r>
            <w:r>
              <w:rPr>
                <w:b/>
                <w:bCs/>
                <w:spacing w:val="-4"/>
                <w:position w:val="-2"/>
              </w:rPr>
              <w:t>802.1—2023</w:t>
            </w:r>
          </w:p>
        </w:tc>
      </w:tr>
      <w:tr w14:paraId="6D856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1160" w:type="dxa"/>
            <w:tcBorders>
              <w:left w:val="single" w:color="000000" w:sz="6" w:space="0"/>
              <w:right w:val="single" w:color="000000" w:sz="8" w:space="0"/>
            </w:tcBorders>
            <w:vAlign w:val="top"/>
          </w:tcPr>
          <w:p w14:paraId="46284BA5">
            <w:pPr>
              <w:spacing w:line="352" w:lineRule="auto"/>
              <w:rPr>
                <w:rFonts w:ascii="Arial"/>
                <w:sz w:val="21"/>
              </w:rPr>
            </w:pPr>
          </w:p>
          <w:p w14:paraId="6AC36CFE">
            <w:pPr>
              <w:pStyle w:val="6"/>
              <w:spacing w:before="64" w:line="157" w:lineRule="exact"/>
              <w:ind w:left="524"/>
            </w:pPr>
            <w:r>
              <w:rPr>
                <w:b/>
                <w:bCs/>
                <w:spacing w:val="1"/>
                <w:position w:val="2"/>
              </w:rPr>
              <w:t>3</w:t>
            </w:r>
          </w:p>
        </w:tc>
        <w:tc>
          <w:tcPr>
            <w:tcW w:w="2917" w:type="dxa"/>
            <w:tcBorders>
              <w:left w:val="single" w:color="000000" w:sz="8" w:space="0"/>
              <w:right w:val="single" w:color="000000" w:sz="8" w:space="0"/>
            </w:tcBorders>
            <w:vAlign w:val="top"/>
          </w:tcPr>
          <w:p w14:paraId="65F3B222">
            <w:pPr>
              <w:spacing w:line="312" w:lineRule="auto"/>
              <w:rPr>
                <w:rFonts w:ascii="Arial"/>
                <w:sz w:val="21"/>
              </w:rPr>
            </w:pPr>
          </w:p>
          <w:p w14:paraId="663C060A">
            <w:pPr>
              <w:spacing w:before="68" w:line="221" w:lineRule="auto"/>
              <w:ind w:left="1032"/>
              <w:rPr>
                <w:rFonts w:ascii="宋体" w:hAnsi="宋体" w:eastAsia="宋体" w:cs="宋体"/>
                <w:sz w:val="21"/>
                <w:szCs w:val="21"/>
              </w:rPr>
            </w:pPr>
            <w:r>
              <w:rPr>
                <w:rFonts w:ascii="宋体" w:hAnsi="宋体" w:eastAsia="宋体" w:cs="宋体"/>
                <w:b/>
                <w:bCs/>
                <w:spacing w:val="-4"/>
                <w:sz w:val="21"/>
                <w:szCs w:val="21"/>
              </w:rPr>
              <w:t>压扁试验</w:t>
            </w:r>
          </w:p>
        </w:tc>
        <w:tc>
          <w:tcPr>
            <w:tcW w:w="2546" w:type="dxa"/>
            <w:tcBorders>
              <w:left w:val="single" w:color="000000" w:sz="8" w:space="0"/>
              <w:right w:val="single" w:color="000000" w:sz="8" w:space="0"/>
            </w:tcBorders>
            <w:vAlign w:val="top"/>
          </w:tcPr>
          <w:p w14:paraId="164B0B4C">
            <w:pPr>
              <w:spacing w:line="349" w:lineRule="auto"/>
              <w:rPr>
                <w:rFonts w:ascii="Arial"/>
                <w:sz w:val="21"/>
              </w:rPr>
            </w:pPr>
          </w:p>
          <w:p w14:paraId="5E19A0FE">
            <w:pPr>
              <w:pStyle w:val="6"/>
              <w:spacing w:before="64" w:line="160" w:lineRule="exact"/>
              <w:ind w:left="457"/>
            </w:pPr>
            <w:r>
              <w:rPr>
                <w:b/>
                <w:bCs/>
                <w:spacing w:val="-6"/>
                <w:position w:val="-2"/>
              </w:rPr>
              <w:t>DL/T</w:t>
            </w:r>
            <w:r>
              <w:rPr>
                <w:b/>
                <w:bCs/>
                <w:spacing w:val="20"/>
                <w:position w:val="-2"/>
              </w:rPr>
              <w:t xml:space="preserve"> </w:t>
            </w:r>
            <w:r>
              <w:rPr>
                <w:b/>
                <w:bCs/>
                <w:spacing w:val="-6"/>
                <w:position w:val="-2"/>
              </w:rPr>
              <w:t>802.7—2023</w:t>
            </w:r>
          </w:p>
        </w:tc>
        <w:tc>
          <w:tcPr>
            <w:tcW w:w="2551" w:type="dxa"/>
            <w:tcBorders>
              <w:left w:val="single" w:color="000000" w:sz="8" w:space="0"/>
              <w:bottom w:val="single" w:color="000000" w:sz="6" w:space="0"/>
            </w:tcBorders>
            <w:vAlign w:val="top"/>
          </w:tcPr>
          <w:p w14:paraId="58D5F879">
            <w:pPr>
              <w:pStyle w:val="6"/>
              <w:spacing w:before="197" w:line="311" w:lineRule="auto"/>
              <w:ind w:left="457" w:right="464"/>
            </w:pPr>
            <w:r>
              <w:rPr>
                <w:b/>
                <w:bCs/>
                <w:spacing w:val="-6"/>
              </w:rPr>
              <w:t>DL/T</w:t>
            </w:r>
            <w:r>
              <w:rPr>
                <w:b/>
                <w:bCs/>
                <w:spacing w:val="21"/>
                <w:w w:val="101"/>
              </w:rPr>
              <w:t xml:space="preserve"> </w:t>
            </w:r>
            <w:r>
              <w:rPr>
                <w:b/>
                <w:bCs/>
                <w:spacing w:val="-6"/>
              </w:rPr>
              <w:t>802.7—2023</w:t>
            </w:r>
            <w:r>
              <w:rPr>
                <w:b/>
                <w:bCs/>
              </w:rPr>
              <w:t xml:space="preserve"> </w:t>
            </w:r>
            <w:r>
              <w:rPr>
                <w:b/>
                <w:bCs/>
                <w:spacing w:val="-4"/>
              </w:rPr>
              <w:t>DL/T</w:t>
            </w:r>
            <w:r>
              <w:rPr>
                <w:b/>
                <w:bCs/>
                <w:spacing w:val="16"/>
              </w:rPr>
              <w:t xml:space="preserve"> </w:t>
            </w:r>
            <w:r>
              <w:rPr>
                <w:b/>
                <w:bCs/>
                <w:spacing w:val="-4"/>
              </w:rPr>
              <w:t>802.1—2023</w:t>
            </w:r>
          </w:p>
        </w:tc>
      </w:tr>
      <w:tr w14:paraId="1BB3D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160" w:type="dxa"/>
            <w:tcBorders>
              <w:left w:val="single" w:color="000000" w:sz="6" w:space="0"/>
              <w:right w:val="single" w:color="000000" w:sz="8" w:space="0"/>
            </w:tcBorders>
            <w:vAlign w:val="top"/>
          </w:tcPr>
          <w:p w14:paraId="6BE37E30">
            <w:pPr>
              <w:spacing w:line="356" w:lineRule="auto"/>
              <w:rPr>
                <w:rFonts w:ascii="Arial"/>
                <w:sz w:val="21"/>
              </w:rPr>
            </w:pPr>
          </w:p>
          <w:p w14:paraId="09DFB2A3">
            <w:pPr>
              <w:pStyle w:val="6"/>
              <w:spacing w:before="64" w:line="157" w:lineRule="exact"/>
              <w:ind w:left="518"/>
            </w:pPr>
            <w:r>
              <w:rPr>
                <w:b/>
                <w:bCs/>
                <w:position w:val="2"/>
              </w:rPr>
              <w:t>4</w:t>
            </w:r>
          </w:p>
        </w:tc>
        <w:tc>
          <w:tcPr>
            <w:tcW w:w="2917" w:type="dxa"/>
            <w:tcBorders>
              <w:left w:val="single" w:color="000000" w:sz="8" w:space="0"/>
              <w:right w:val="single" w:color="000000" w:sz="8" w:space="0"/>
            </w:tcBorders>
            <w:vAlign w:val="top"/>
          </w:tcPr>
          <w:p w14:paraId="3C0F08A0">
            <w:pPr>
              <w:spacing w:line="315" w:lineRule="auto"/>
              <w:rPr>
                <w:rFonts w:ascii="Arial"/>
                <w:sz w:val="21"/>
              </w:rPr>
            </w:pPr>
          </w:p>
          <w:p w14:paraId="0527DA0C">
            <w:pPr>
              <w:spacing w:before="68" w:line="222" w:lineRule="auto"/>
              <w:ind w:left="1033"/>
              <w:rPr>
                <w:rFonts w:ascii="宋体" w:hAnsi="宋体" w:eastAsia="宋体" w:cs="宋体"/>
                <w:sz w:val="21"/>
                <w:szCs w:val="21"/>
              </w:rPr>
            </w:pPr>
            <w:r>
              <w:rPr>
                <w:rFonts w:ascii="宋体" w:hAnsi="宋体" w:eastAsia="宋体" w:cs="宋体"/>
                <w:b/>
                <w:bCs/>
                <w:spacing w:val="-4"/>
                <w:sz w:val="21"/>
                <w:szCs w:val="21"/>
              </w:rPr>
              <w:t>落锤冲击</w:t>
            </w:r>
          </w:p>
        </w:tc>
        <w:tc>
          <w:tcPr>
            <w:tcW w:w="2546" w:type="dxa"/>
            <w:tcBorders>
              <w:left w:val="single" w:color="000000" w:sz="8" w:space="0"/>
              <w:right w:val="single" w:color="000000" w:sz="8" w:space="0"/>
            </w:tcBorders>
            <w:vAlign w:val="top"/>
          </w:tcPr>
          <w:p w14:paraId="26E77776">
            <w:pPr>
              <w:spacing w:line="352" w:lineRule="auto"/>
              <w:rPr>
                <w:rFonts w:ascii="Arial"/>
                <w:sz w:val="21"/>
              </w:rPr>
            </w:pPr>
          </w:p>
          <w:p w14:paraId="0BD080A1">
            <w:pPr>
              <w:pStyle w:val="6"/>
              <w:spacing w:before="64" w:line="161" w:lineRule="exact"/>
              <w:ind w:left="457"/>
            </w:pPr>
            <w:r>
              <w:rPr>
                <w:b/>
                <w:bCs/>
                <w:spacing w:val="-6"/>
                <w:position w:val="-2"/>
              </w:rPr>
              <w:t>DL/T</w:t>
            </w:r>
            <w:r>
              <w:rPr>
                <w:b/>
                <w:bCs/>
                <w:spacing w:val="20"/>
                <w:position w:val="-2"/>
              </w:rPr>
              <w:t xml:space="preserve"> </w:t>
            </w:r>
            <w:r>
              <w:rPr>
                <w:b/>
                <w:bCs/>
                <w:spacing w:val="-6"/>
                <w:position w:val="-2"/>
              </w:rPr>
              <w:t>802.7—2023</w:t>
            </w:r>
          </w:p>
        </w:tc>
        <w:tc>
          <w:tcPr>
            <w:tcW w:w="2551" w:type="dxa"/>
            <w:tcBorders>
              <w:left w:val="single" w:color="000000" w:sz="8" w:space="0"/>
            </w:tcBorders>
            <w:vAlign w:val="top"/>
          </w:tcPr>
          <w:p w14:paraId="5C0A1C55">
            <w:pPr>
              <w:pStyle w:val="6"/>
              <w:spacing w:before="199" w:line="311" w:lineRule="auto"/>
              <w:ind w:left="457" w:right="464"/>
            </w:pPr>
            <w:r>
              <w:rPr>
                <w:b/>
                <w:bCs/>
                <w:spacing w:val="-6"/>
              </w:rPr>
              <w:t>DL/T</w:t>
            </w:r>
            <w:r>
              <w:rPr>
                <w:b/>
                <w:bCs/>
                <w:spacing w:val="21"/>
                <w:w w:val="101"/>
              </w:rPr>
              <w:t xml:space="preserve"> </w:t>
            </w:r>
            <w:r>
              <w:rPr>
                <w:b/>
                <w:bCs/>
                <w:spacing w:val="-6"/>
              </w:rPr>
              <w:t>802.7—2023</w:t>
            </w:r>
            <w:r>
              <w:rPr>
                <w:b/>
                <w:bCs/>
              </w:rPr>
              <w:t xml:space="preserve"> </w:t>
            </w:r>
            <w:r>
              <w:rPr>
                <w:b/>
                <w:bCs/>
                <w:spacing w:val="-4"/>
              </w:rPr>
              <w:t>DL/T</w:t>
            </w:r>
            <w:r>
              <w:rPr>
                <w:b/>
                <w:bCs/>
                <w:spacing w:val="16"/>
              </w:rPr>
              <w:t xml:space="preserve"> </w:t>
            </w:r>
            <w:r>
              <w:rPr>
                <w:b/>
                <w:bCs/>
                <w:spacing w:val="-4"/>
              </w:rPr>
              <w:t>802.1—2023</w:t>
            </w:r>
          </w:p>
        </w:tc>
      </w:tr>
      <w:tr w14:paraId="222B0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0" w:type="dxa"/>
            <w:vAlign w:val="top"/>
          </w:tcPr>
          <w:p w14:paraId="0F0E741E">
            <w:pPr>
              <w:pStyle w:val="6"/>
              <w:spacing w:before="216" w:line="153" w:lineRule="exact"/>
              <w:ind w:left="530"/>
            </w:pPr>
            <w:r>
              <w:rPr>
                <w:b/>
                <w:bCs/>
                <w:position w:val="2"/>
              </w:rPr>
              <w:t>5</w:t>
            </w:r>
          </w:p>
        </w:tc>
        <w:tc>
          <w:tcPr>
            <w:tcW w:w="2917" w:type="dxa"/>
            <w:vAlign w:val="top"/>
          </w:tcPr>
          <w:p w14:paraId="7EA6FEEA">
            <w:pPr>
              <w:spacing w:before="176" w:line="221" w:lineRule="auto"/>
              <w:ind w:left="1040"/>
              <w:rPr>
                <w:rFonts w:ascii="宋体" w:hAnsi="宋体" w:eastAsia="宋体" w:cs="宋体"/>
                <w:sz w:val="21"/>
                <w:szCs w:val="21"/>
              </w:rPr>
            </w:pPr>
            <w:r>
              <w:rPr>
                <w:rFonts w:ascii="宋体" w:hAnsi="宋体" w:eastAsia="宋体" w:cs="宋体"/>
                <w:b/>
                <w:bCs/>
                <w:spacing w:val="-4"/>
                <w:sz w:val="21"/>
                <w:szCs w:val="21"/>
              </w:rPr>
              <w:t>拉伸强度</w:t>
            </w:r>
          </w:p>
        </w:tc>
        <w:tc>
          <w:tcPr>
            <w:tcW w:w="2546" w:type="dxa"/>
            <w:vAlign w:val="top"/>
          </w:tcPr>
          <w:p w14:paraId="0D83F1D2">
            <w:pPr>
              <w:pStyle w:val="6"/>
              <w:spacing w:before="209" w:line="160" w:lineRule="exact"/>
              <w:ind w:left="465"/>
            </w:pPr>
            <w:r>
              <w:rPr>
                <w:b/>
                <w:bCs/>
                <w:spacing w:val="-6"/>
                <w:position w:val="-2"/>
              </w:rPr>
              <w:t>DL/T</w:t>
            </w:r>
            <w:r>
              <w:rPr>
                <w:b/>
                <w:bCs/>
                <w:spacing w:val="20"/>
                <w:position w:val="-2"/>
              </w:rPr>
              <w:t xml:space="preserve"> </w:t>
            </w:r>
            <w:r>
              <w:rPr>
                <w:b/>
                <w:bCs/>
                <w:spacing w:val="-6"/>
                <w:position w:val="-2"/>
              </w:rPr>
              <w:t>802.7—2023</w:t>
            </w:r>
          </w:p>
        </w:tc>
        <w:tc>
          <w:tcPr>
            <w:tcW w:w="2551" w:type="dxa"/>
            <w:vAlign w:val="top"/>
          </w:tcPr>
          <w:p w14:paraId="454F821F">
            <w:pPr>
              <w:pStyle w:val="6"/>
              <w:spacing w:before="209" w:line="160" w:lineRule="exact"/>
              <w:ind w:left="464"/>
            </w:pPr>
            <w:r>
              <w:rPr>
                <w:b/>
                <w:bCs/>
                <w:spacing w:val="-4"/>
                <w:position w:val="-2"/>
              </w:rPr>
              <w:t>DL/T</w:t>
            </w:r>
            <w:r>
              <w:rPr>
                <w:b/>
                <w:bCs/>
                <w:spacing w:val="16"/>
                <w:position w:val="-2"/>
              </w:rPr>
              <w:t xml:space="preserve"> </w:t>
            </w:r>
            <w:r>
              <w:rPr>
                <w:b/>
                <w:bCs/>
                <w:spacing w:val="-4"/>
                <w:position w:val="-2"/>
              </w:rPr>
              <w:t>802.1—2023</w:t>
            </w:r>
          </w:p>
        </w:tc>
      </w:tr>
    </w:tbl>
    <w:p w14:paraId="32FA5419">
      <w:pPr>
        <w:rPr>
          <w:rFonts w:ascii="Arial"/>
          <w:sz w:val="21"/>
        </w:rPr>
      </w:pPr>
    </w:p>
    <w:p w14:paraId="0A1A5EA4">
      <w:pPr>
        <w:rPr>
          <w:rFonts w:ascii="Arial" w:hAnsi="Arial" w:eastAsia="Arial" w:cs="Arial"/>
          <w:sz w:val="21"/>
          <w:szCs w:val="21"/>
        </w:rPr>
        <w:sectPr>
          <w:footerReference r:id="rId5" w:type="default"/>
          <w:pgSz w:w="11907" w:h="16839"/>
          <w:pgMar w:top="1431" w:right="1360" w:bottom="1366" w:left="1360" w:header="0" w:footer="1195" w:gutter="0"/>
          <w:cols w:space="720" w:num="1"/>
        </w:sectPr>
      </w:pPr>
    </w:p>
    <w:p w14:paraId="2D5C1C42">
      <w:pPr>
        <w:spacing w:before="35"/>
      </w:pPr>
    </w:p>
    <w:p w14:paraId="6409ADE7">
      <w:pPr>
        <w:spacing w:before="35"/>
      </w:pPr>
    </w:p>
    <w:tbl>
      <w:tblPr>
        <w:tblStyle w:val="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2919"/>
        <w:gridCol w:w="2547"/>
        <w:gridCol w:w="2552"/>
      </w:tblGrid>
      <w:tr w14:paraId="5B418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161" w:type="dxa"/>
            <w:vAlign w:val="top"/>
          </w:tcPr>
          <w:p w14:paraId="0133920A">
            <w:pPr>
              <w:pStyle w:val="6"/>
              <w:spacing w:before="212" w:line="188" w:lineRule="auto"/>
              <w:ind w:left="534"/>
            </w:pPr>
            <w:r>
              <w:rPr>
                <w:b/>
                <w:bCs/>
              </w:rPr>
              <w:t>6</w:t>
            </w:r>
          </w:p>
        </w:tc>
        <w:tc>
          <w:tcPr>
            <w:tcW w:w="2919" w:type="dxa"/>
            <w:vAlign w:val="top"/>
          </w:tcPr>
          <w:p w14:paraId="1F442309">
            <w:pPr>
              <w:spacing w:before="176" w:line="220" w:lineRule="auto"/>
              <w:ind w:left="945"/>
              <w:rPr>
                <w:rFonts w:ascii="宋体" w:hAnsi="宋体" w:eastAsia="宋体" w:cs="宋体"/>
                <w:sz w:val="21"/>
                <w:szCs w:val="21"/>
              </w:rPr>
            </w:pPr>
            <w:r>
              <w:rPr>
                <w:rFonts w:ascii="宋体" w:hAnsi="宋体" w:eastAsia="宋体" w:cs="宋体"/>
                <w:b/>
                <w:bCs/>
                <w:spacing w:val="-5"/>
                <w:sz w:val="21"/>
                <w:szCs w:val="21"/>
              </w:rPr>
              <w:t>断裂伸长率</w:t>
            </w:r>
          </w:p>
        </w:tc>
        <w:tc>
          <w:tcPr>
            <w:tcW w:w="2547" w:type="dxa"/>
            <w:vAlign w:val="top"/>
          </w:tcPr>
          <w:p w14:paraId="21E01FA3">
            <w:pPr>
              <w:pStyle w:val="6"/>
              <w:spacing w:before="208" w:line="161" w:lineRule="exact"/>
              <w:ind w:left="467"/>
            </w:pPr>
            <w:r>
              <w:rPr>
                <w:b/>
                <w:bCs/>
                <w:spacing w:val="-6"/>
                <w:position w:val="-2"/>
              </w:rPr>
              <w:t>DL/T</w:t>
            </w:r>
            <w:r>
              <w:rPr>
                <w:b/>
                <w:bCs/>
                <w:spacing w:val="20"/>
                <w:position w:val="-2"/>
              </w:rPr>
              <w:t xml:space="preserve"> </w:t>
            </w:r>
            <w:r>
              <w:rPr>
                <w:b/>
                <w:bCs/>
                <w:spacing w:val="-6"/>
                <w:position w:val="-2"/>
              </w:rPr>
              <w:t>802.7—2023</w:t>
            </w:r>
          </w:p>
        </w:tc>
        <w:tc>
          <w:tcPr>
            <w:tcW w:w="2552" w:type="dxa"/>
            <w:vAlign w:val="top"/>
          </w:tcPr>
          <w:p w14:paraId="2C6BA55C">
            <w:pPr>
              <w:pStyle w:val="6"/>
              <w:spacing w:before="208" w:line="161" w:lineRule="exact"/>
              <w:ind w:left="465"/>
            </w:pPr>
            <w:r>
              <w:rPr>
                <w:b/>
                <w:bCs/>
                <w:spacing w:val="-4"/>
                <w:position w:val="-2"/>
              </w:rPr>
              <w:t>DL/T</w:t>
            </w:r>
            <w:r>
              <w:rPr>
                <w:b/>
                <w:bCs/>
                <w:spacing w:val="16"/>
                <w:position w:val="-2"/>
              </w:rPr>
              <w:t xml:space="preserve"> </w:t>
            </w:r>
            <w:r>
              <w:rPr>
                <w:b/>
                <w:bCs/>
                <w:spacing w:val="-4"/>
                <w:position w:val="-2"/>
              </w:rPr>
              <w:t>802.1—2023</w:t>
            </w:r>
          </w:p>
        </w:tc>
      </w:tr>
    </w:tbl>
    <w:p w14:paraId="143155E5">
      <w:pPr>
        <w:spacing w:line="269" w:lineRule="auto"/>
        <w:rPr>
          <w:rFonts w:ascii="Arial"/>
          <w:sz w:val="21"/>
        </w:rPr>
      </w:pPr>
    </w:p>
    <w:p w14:paraId="49F18658">
      <w:pPr>
        <w:spacing w:line="270" w:lineRule="auto"/>
        <w:rPr>
          <w:rFonts w:ascii="Arial"/>
          <w:sz w:val="21"/>
        </w:rPr>
      </w:pPr>
    </w:p>
    <w:p w14:paraId="7DCDA4CB">
      <w:pPr>
        <w:pStyle w:val="2"/>
        <w:spacing w:before="68" w:line="220" w:lineRule="auto"/>
        <w:ind w:left="541"/>
      </w:pPr>
      <w:r>
        <w:rPr>
          <w:b/>
          <w:bCs/>
          <w:spacing w:val="-2"/>
        </w:rPr>
        <w:t>执行企业标准、团体标准、地方标准的产品，检</w:t>
      </w:r>
      <w:r>
        <w:rPr>
          <w:b/>
          <w:bCs/>
          <w:spacing w:val="-3"/>
        </w:rPr>
        <w:t>验项目参照上述内容执行。</w:t>
      </w:r>
    </w:p>
    <w:p w14:paraId="58C078A1">
      <w:pPr>
        <w:pStyle w:val="2"/>
        <w:spacing w:before="188" w:line="220" w:lineRule="auto"/>
        <w:ind w:left="545"/>
      </w:pPr>
      <w:r>
        <w:rPr>
          <w:b/>
          <w:bCs/>
          <w:spacing w:val="-4"/>
        </w:rPr>
        <w:t>凡是注日期的文件，其随后所有的修改单（不包括勘误的内容）或修订版</w:t>
      </w:r>
      <w:r>
        <w:rPr>
          <w:b/>
          <w:bCs/>
          <w:spacing w:val="-5"/>
        </w:rPr>
        <w:t>不适用于本细则。凡</w:t>
      </w:r>
    </w:p>
    <w:p w14:paraId="1B898BC5">
      <w:pPr>
        <w:pStyle w:val="2"/>
        <w:spacing w:before="191" w:line="220" w:lineRule="auto"/>
        <w:ind w:left="124"/>
      </w:pPr>
      <w:r>
        <w:rPr>
          <w:b/>
          <w:bCs/>
          <w:spacing w:val="-3"/>
        </w:rPr>
        <w:t>是不注日期的文件，其最新版本适用于本细则。</w:t>
      </w:r>
    </w:p>
    <w:p w14:paraId="5F450EC5">
      <w:pPr>
        <w:pStyle w:val="2"/>
        <w:spacing w:before="145" w:line="324" w:lineRule="auto"/>
        <w:ind w:left="121" w:right="7914"/>
        <w:outlineLvl w:val="0"/>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4CCFA628">
      <w:pPr>
        <w:pStyle w:val="2"/>
        <w:spacing w:before="214" w:line="202" w:lineRule="auto"/>
        <w:ind w:left="536"/>
        <w:outlineLvl w:val="1"/>
      </w:pPr>
      <w:r>
        <w:rPr>
          <w:rFonts w:ascii="Constantia" w:hAnsi="Constantia" w:eastAsia="Constantia" w:cs="Constantia"/>
          <w:b/>
          <w:bCs/>
          <w:spacing w:val="-3"/>
        </w:rPr>
        <w:t>DL/T 802.2—2017</w:t>
      </w:r>
      <w:r>
        <w:rPr>
          <w:rFonts w:ascii="Constantia" w:hAnsi="Constantia" w:eastAsia="Constantia" w:cs="Constantia"/>
          <w:b/>
          <w:bCs/>
          <w:spacing w:val="21"/>
          <w:w w:val="101"/>
        </w:rPr>
        <w:t xml:space="preserve">  </w:t>
      </w:r>
      <w:r>
        <w:rPr>
          <w:b/>
          <w:bCs/>
          <w:spacing w:val="-3"/>
        </w:rPr>
        <w:t>电力电缆用导管技术条件</w:t>
      </w:r>
      <w:r>
        <w:rPr>
          <w:spacing w:val="-3"/>
        </w:rPr>
        <w:t xml:space="preserve">  </w:t>
      </w:r>
      <w:r>
        <w:rPr>
          <w:b/>
          <w:bCs/>
          <w:spacing w:val="-3"/>
        </w:rPr>
        <w:t>第</w:t>
      </w:r>
      <w:r>
        <w:rPr>
          <w:spacing w:val="-48"/>
        </w:rPr>
        <w:t xml:space="preserve"> </w:t>
      </w:r>
      <w:r>
        <w:rPr>
          <w:rFonts w:ascii="Constantia" w:hAnsi="Constantia" w:eastAsia="Constantia" w:cs="Constantia"/>
          <w:b/>
          <w:bCs/>
          <w:spacing w:val="-3"/>
        </w:rPr>
        <w:t xml:space="preserve">2 </w:t>
      </w:r>
      <w:r>
        <w:rPr>
          <w:b/>
          <w:bCs/>
          <w:spacing w:val="-3"/>
        </w:rPr>
        <w:t>部分：玻璃纤维增强塑料电缆导管</w:t>
      </w:r>
    </w:p>
    <w:p w14:paraId="22BAC0CB">
      <w:pPr>
        <w:pStyle w:val="2"/>
        <w:spacing w:before="211" w:line="373" w:lineRule="auto"/>
        <w:ind w:left="482" w:right="1255" w:firstLine="53"/>
      </w:pPr>
      <w:r>
        <w:rPr>
          <w:rFonts w:ascii="Constantia" w:hAnsi="Constantia" w:eastAsia="Constantia" w:cs="Constantia"/>
          <w:b/>
          <w:bCs/>
          <w:spacing w:val="-3"/>
        </w:rPr>
        <w:t xml:space="preserve">DL/T 802.7—2023   </w:t>
      </w:r>
      <w:r>
        <w:rPr>
          <w:b/>
          <w:bCs/>
          <w:spacing w:val="-3"/>
        </w:rPr>
        <w:t>电力电缆用导管技</w:t>
      </w:r>
      <w:r>
        <w:rPr>
          <w:b/>
          <w:bCs/>
          <w:spacing w:val="-4"/>
        </w:rPr>
        <w:t>术条件</w:t>
      </w:r>
      <w:r>
        <w:rPr>
          <w:spacing w:val="-4"/>
        </w:rPr>
        <w:t xml:space="preserve">  </w:t>
      </w:r>
      <w:r>
        <w:rPr>
          <w:b/>
          <w:bCs/>
          <w:spacing w:val="-4"/>
        </w:rPr>
        <w:t>第</w:t>
      </w:r>
      <w:r>
        <w:rPr>
          <w:spacing w:val="-45"/>
        </w:rPr>
        <w:t xml:space="preserve"> </w:t>
      </w:r>
      <w:r>
        <w:rPr>
          <w:rFonts w:ascii="Constantia" w:hAnsi="Constantia" w:eastAsia="Constantia" w:cs="Constantia"/>
          <w:b/>
          <w:bCs/>
          <w:spacing w:val="-4"/>
        </w:rPr>
        <w:t xml:space="preserve">7 </w:t>
      </w:r>
      <w:r>
        <w:rPr>
          <w:b/>
          <w:bCs/>
          <w:spacing w:val="-4"/>
        </w:rPr>
        <w:t>部分：非开挖用塑料电缆导管</w:t>
      </w:r>
      <w:r>
        <w:t xml:space="preserve"> </w:t>
      </w:r>
      <w:r>
        <w:rPr>
          <w:b/>
          <w:bCs/>
          <w:spacing w:val="-3"/>
        </w:rPr>
        <w:t>现行有效的企业标准、团体标准、地方标准及产品明示质量要求</w:t>
      </w:r>
    </w:p>
    <w:p w14:paraId="38672523">
      <w:pPr>
        <w:pStyle w:val="2"/>
        <w:spacing w:before="30" w:line="198" w:lineRule="auto"/>
        <w:ind w:left="121"/>
        <w:outlineLvl w:val="0"/>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39CCBCEA">
      <w:pPr>
        <w:pStyle w:val="2"/>
        <w:spacing w:before="216" w:line="373" w:lineRule="auto"/>
        <w:ind w:left="124" w:right="111" w:firstLine="415"/>
      </w:pPr>
      <w:r>
        <w:rPr>
          <w:b/>
          <w:bCs/>
          <w:spacing w:val="-4"/>
        </w:rPr>
        <w:t>经检验，检验项目全部合格，判定为被抽查产品所检项目未发现不合格；检验项目中</w:t>
      </w:r>
      <w:r>
        <w:rPr>
          <w:b/>
          <w:bCs/>
          <w:spacing w:val="-5"/>
        </w:rPr>
        <w:t>任一项或</w:t>
      </w:r>
      <w:r>
        <w:t xml:space="preserve"> </w:t>
      </w:r>
      <w:r>
        <w:rPr>
          <w:b/>
          <w:bCs/>
          <w:spacing w:val="-3"/>
        </w:rPr>
        <w:t>一项以上不合格，判定为被抽查产品不合格。</w:t>
      </w:r>
    </w:p>
    <w:p w14:paraId="61470831">
      <w:pPr>
        <w:pStyle w:val="2"/>
        <w:spacing w:before="31" w:line="375" w:lineRule="auto"/>
        <w:ind w:left="121" w:right="111" w:firstLine="418"/>
      </w:pPr>
      <w:r>
        <w:rPr>
          <w:b/>
          <w:bCs/>
          <w:spacing w:val="-4"/>
        </w:rPr>
        <w:t>若被检产品明示的质量要求高于本细则中检验项目依据的标准要求时，应按被检产品</w:t>
      </w:r>
      <w:r>
        <w:rPr>
          <w:b/>
          <w:bCs/>
          <w:spacing w:val="-5"/>
        </w:rPr>
        <w:t>明示的质</w:t>
      </w:r>
      <w:r>
        <w:t xml:space="preserve"> </w:t>
      </w:r>
      <w:r>
        <w:rPr>
          <w:b/>
          <w:bCs/>
          <w:spacing w:val="-3"/>
        </w:rPr>
        <w:t>量要求判定。</w:t>
      </w:r>
    </w:p>
    <w:p w14:paraId="225A49F5">
      <w:pPr>
        <w:pStyle w:val="2"/>
        <w:spacing w:before="27" w:line="373" w:lineRule="auto"/>
        <w:ind w:left="122" w:right="111" w:firstLine="416"/>
      </w:pPr>
      <w:r>
        <w:rPr>
          <w:b/>
          <w:bCs/>
          <w:spacing w:val="-4"/>
        </w:rPr>
        <w:t>若被检产品明示的质量要求低于本细则中检验项目依据的强制性标准要求时，应按照</w:t>
      </w:r>
      <w:r>
        <w:rPr>
          <w:b/>
          <w:bCs/>
          <w:spacing w:val="-5"/>
        </w:rPr>
        <w:t>强制性标</w:t>
      </w:r>
      <w:r>
        <w:t xml:space="preserve"> </w:t>
      </w:r>
      <w:r>
        <w:rPr>
          <w:b/>
          <w:bCs/>
          <w:spacing w:val="-4"/>
        </w:rPr>
        <w:t>准要求判定。</w:t>
      </w:r>
    </w:p>
    <w:p w14:paraId="73883277">
      <w:pPr>
        <w:pStyle w:val="2"/>
        <w:spacing w:before="32" w:line="373" w:lineRule="auto"/>
        <w:ind w:left="121" w:right="111" w:firstLine="418"/>
      </w:pPr>
      <w:r>
        <w:rPr>
          <w:b/>
          <w:bCs/>
          <w:spacing w:val="-4"/>
        </w:rPr>
        <w:t>若被检产品明示的质量要求低于或包含本细则中检验项目依据的推荐性标准要求时，</w:t>
      </w:r>
      <w:r>
        <w:rPr>
          <w:b/>
          <w:bCs/>
          <w:spacing w:val="-5"/>
        </w:rPr>
        <w:t>应以被检</w:t>
      </w:r>
      <w:r>
        <w:t xml:space="preserve"> </w:t>
      </w:r>
      <w:r>
        <w:rPr>
          <w:b/>
          <w:bCs/>
          <w:spacing w:val="-3"/>
        </w:rPr>
        <w:t>产品明示的质量要求判定。</w:t>
      </w:r>
    </w:p>
    <w:p w14:paraId="6F52D9FD">
      <w:pPr>
        <w:pStyle w:val="2"/>
        <w:spacing w:before="31" w:line="375" w:lineRule="auto"/>
        <w:ind w:left="122" w:right="111" w:firstLine="416"/>
      </w:pPr>
      <w:r>
        <w:rPr>
          <w:b/>
          <w:bCs/>
          <w:spacing w:val="-4"/>
        </w:rPr>
        <w:t>若被检产品明示的质量要求缺少本细则中检验项目依据的强制性标准要求时，应按照</w:t>
      </w:r>
      <w:r>
        <w:rPr>
          <w:b/>
          <w:bCs/>
          <w:spacing w:val="-5"/>
        </w:rPr>
        <w:t>强制性标</w:t>
      </w:r>
      <w:r>
        <w:t xml:space="preserve"> </w:t>
      </w:r>
      <w:r>
        <w:rPr>
          <w:b/>
          <w:bCs/>
          <w:spacing w:val="-4"/>
        </w:rPr>
        <w:t>准要求判定。</w:t>
      </w:r>
    </w:p>
    <w:p w14:paraId="404EEBC8">
      <w:pPr>
        <w:pStyle w:val="2"/>
        <w:spacing w:before="27" w:line="373" w:lineRule="auto"/>
        <w:ind w:left="126" w:right="111" w:firstLine="413"/>
      </w:pPr>
      <w:r>
        <w:rPr>
          <w:b/>
          <w:bCs/>
          <w:spacing w:val="-4"/>
        </w:rPr>
        <w:t>若被检产品明示的质量要求缺少本细则中检验项目依据的推荐性标准要求时，该项目</w:t>
      </w:r>
      <w:r>
        <w:rPr>
          <w:b/>
          <w:bCs/>
          <w:spacing w:val="-5"/>
        </w:rPr>
        <w:t>不参与判</w:t>
      </w:r>
      <w:r>
        <w:t xml:space="preserve"> </w:t>
      </w:r>
      <w:r>
        <w:rPr>
          <w:b/>
          <w:bCs/>
          <w:spacing w:val="-9"/>
        </w:rPr>
        <w:t>定。</w:t>
      </w:r>
    </w:p>
    <w:sectPr>
      <w:footerReference r:id="rId6" w:type="default"/>
      <w:pgSz w:w="11907" w:h="16839"/>
      <w:pgMar w:top="1431" w:right="1360" w:bottom="1366" w:left="1360" w:header="0" w:footer="11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4435">
    <w:pPr>
      <w:spacing w:line="176" w:lineRule="auto"/>
      <w:ind w:left="4566"/>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7515">
    <w:pPr>
      <w:spacing w:line="176" w:lineRule="auto"/>
      <w:ind w:left="4549"/>
      <w:rPr>
        <w:rFonts w:ascii="Constantia" w:hAnsi="Constantia" w:eastAsia="Constantia" w:cs="Constantia"/>
        <w:sz w:val="18"/>
        <w:szCs w:val="18"/>
      </w:rPr>
    </w:pPr>
    <w:r>
      <w:rPr>
        <w:rFonts w:ascii="Constantia" w:hAnsi="Constantia" w:eastAsia="Constantia" w:cs="Constantia"/>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CA1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824</Words>
  <Characters>1166</Characters>
  <TotalTime>0</TotalTime>
  <ScaleCrop>false</ScaleCrop>
  <LinksUpToDate>false</LinksUpToDate>
  <CharactersWithSpaces>1249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2025-03-07T14:57:00Z</dcterms:created>
  <dc:creator>Administrator</dc:creator>
  <cp:lastModifiedBy>WPS_1645145261</cp:lastModifiedBy>
  <dcterms:modified xsi:type="dcterms:W3CDTF">2025-05-01T08:12:11Z</dcterms:modified>
  <dc:title>Microsoft Word - V_x0017__x0001_5łˆá¡P§Á(ÏÑc½åž½Æˇ_x0008_2025tH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2025-05-01T16:12:05Z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1F1182AC6434468798D8528593E55E2B_12</vt:lpwstr>
  </property>
</Properties>
</file>