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F5A887">
      <w:pPr>
        <w:pStyle w:val="2"/>
        <w:spacing w:before="178" w:line="219" w:lineRule="auto"/>
        <w:ind w:left="334"/>
        <w:outlineLvl w:val="0"/>
        <w:rPr>
          <w:sz w:val="33"/>
          <w:szCs w:val="33"/>
        </w:rPr>
      </w:pPr>
      <w:r>
        <w:rPr>
          <w:rFonts w:hint="eastAsia"/>
          <w:b/>
          <w:bCs/>
          <w:spacing w:val="-13"/>
          <w:sz w:val="33"/>
          <w:szCs w:val="33"/>
          <w:lang w:val="en-US" w:eastAsia="zh-CN"/>
        </w:rPr>
        <w:t>通城县</w:t>
      </w:r>
      <w:bookmarkStart w:id="0" w:name="_GoBack"/>
      <w:bookmarkEnd w:id="0"/>
      <w:r>
        <w:rPr>
          <w:b/>
          <w:bCs/>
          <w:spacing w:val="-13"/>
          <w:sz w:val="33"/>
          <w:szCs w:val="33"/>
        </w:rPr>
        <w:t>电动自行车用充电器产品质量监督抽查实</w:t>
      </w:r>
      <w:r>
        <w:rPr>
          <w:b/>
          <w:bCs/>
          <w:spacing w:val="-14"/>
          <w:sz w:val="33"/>
          <w:szCs w:val="33"/>
        </w:rPr>
        <w:t>施细则</w:t>
      </w:r>
    </w:p>
    <w:p w14:paraId="1EC56EFB">
      <w:pPr>
        <w:pStyle w:val="2"/>
        <w:spacing w:before="208" w:line="219" w:lineRule="auto"/>
        <w:ind w:left="3294"/>
        <w:outlineLvl w:val="0"/>
        <w:rPr>
          <w:sz w:val="33"/>
          <w:szCs w:val="33"/>
        </w:rPr>
      </w:pPr>
      <w:r>
        <w:rPr>
          <w:b/>
          <w:bCs/>
          <w:spacing w:val="16"/>
          <w:sz w:val="33"/>
          <w:szCs w:val="33"/>
        </w:rPr>
        <w:t>(2025年版)</w:t>
      </w:r>
    </w:p>
    <w:p w14:paraId="38B0A401">
      <w:pPr>
        <w:spacing w:line="355" w:lineRule="auto"/>
        <w:rPr>
          <w:rFonts w:ascii="Arial"/>
          <w:sz w:val="21"/>
        </w:rPr>
      </w:pPr>
    </w:p>
    <w:p w14:paraId="4A044C3C">
      <w:pPr>
        <w:spacing w:line="355" w:lineRule="auto"/>
        <w:rPr>
          <w:rFonts w:ascii="Arial"/>
          <w:sz w:val="21"/>
        </w:rPr>
      </w:pPr>
    </w:p>
    <w:p w14:paraId="3AC04422">
      <w:pPr>
        <w:pStyle w:val="2"/>
        <w:spacing w:before="68" w:line="221" w:lineRule="auto"/>
        <w:rPr>
          <w:rFonts w:ascii="黑体" w:hAnsi="黑体" w:eastAsia="黑体" w:cs="黑体"/>
        </w:rPr>
      </w:pPr>
      <w:r>
        <w:rPr>
          <w:spacing w:val="-8"/>
        </w:rPr>
        <w:t>1</w:t>
      </w:r>
      <w:r>
        <w:rPr>
          <w:spacing w:val="26"/>
        </w:rPr>
        <w:t xml:space="preserve"> </w:t>
      </w:r>
      <w:r>
        <w:rPr>
          <w:rFonts w:ascii="黑体" w:hAnsi="黑体" w:eastAsia="黑体" w:cs="黑体"/>
          <w:b/>
          <w:bCs/>
          <w:spacing w:val="-8"/>
        </w:rPr>
        <w:t>抽样方法</w:t>
      </w:r>
    </w:p>
    <w:p w14:paraId="5C39EEB9">
      <w:pPr>
        <w:pStyle w:val="2"/>
        <w:spacing w:before="172" w:line="219" w:lineRule="auto"/>
        <w:ind w:left="439"/>
      </w:pPr>
      <w:r>
        <w:rPr>
          <w:spacing w:val="-1"/>
        </w:rPr>
        <w:t>以随机抽样的方式在被抽样生产者、销售者的待</w:t>
      </w:r>
      <w:r>
        <w:rPr>
          <w:spacing w:val="-2"/>
        </w:rPr>
        <w:t>销产品中抽取。</w:t>
      </w:r>
    </w:p>
    <w:p w14:paraId="03470AA5">
      <w:pPr>
        <w:pStyle w:val="2"/>
        <w:spacing w:before="190" w:line="219" w:lineRule="auto"/>
        <w:ind w:left="439"/>
      </w:pPr>
      <w:r>
        <w:rPr>
          <w:spacing w:val="-1"/>
        </w:rPr>
        <w:t>随机数一般可使用随机数表等方法产生。</w:t>
      </w:r>
    </w:p>
    <w:p w14:paraId="46CD9BF0">
      <w:pPr>
        <w:pStyle w:val="2"/>
        <w:spacing w:before="191" w:line="219" w:lineRule="auto"/>
        <w:ind w:left="439"/>
      </w:pPr>
      <w:r>
        <w:rPr>
          <w:spacing w:val="6"/>
        </w:rPr>
        <w:t>随机抽取同一种规格型号2个产品，其中1个作为检验样品，1个作为备用样品。</w:t>
      </w:r>
    </w:p>
    <w:p w14:paraId="5359290A">
      <w:pPr>
        <w:pStyle w:val="2"/>
        <w:spacing w:before="198" w:line="222" w:lineRule="auto"/>
        <w:ind w:left="3"/>
        <w:outlineLvl w:val="4"/>
        <w:rPr>
          <w:rFonts w:ascii="黑体" w:hAnsi="黑体" w:eastAsia="黑体" w:cs="黑体"/>
        </w:rPr>
      </w:pPr>
      <w:r>
        <w:rPr>
          <w:b/>
          <w:bCs/>
          <w:spacing w:val="-9"/>
        </w:rPr>
        <w:t>2</w:t>
      </w:r>
      <w:r>
        <w:rPr>
          <w:spacing w:val="23"/>
        </w:rPr>
        <w:t xml:space="preserve"> </w:t>
      </w:r>
      <w:r>
        <w:rPr>
          <w:rFonts w:ascii="黑体" w:hAnsi="黑体" w:eastAsia="黑体" w:cs="黑体"/>
          <w:b/>
          <w:bCs/>
          <w:spacing w:val="-9"/>
        </w:rPr>
        <w:t>检验依据</w:t>
      </w:r>
    </w:p>
    <w:p w14:paraId="3C3747D9">
      <w:pPr>
        <w:pStyle w:val="2"/>
        <w:spacing w:before="213" w:line="219" w:lineRule="auto"/>
        <w:ind w:left="2999"/>
        <w:rPr>
          <w:sz w:val="22"/>
          <w:szCs w:val="22"/>
        </w:rPr>
      </w:pPr>
      <w:r>
        <w:rPr>
          <w:spacing w:val="-1"/>
          <w:sz w:val="22"/>
          <w:szCs w:val="22"/>
        </w:rPr>
        <w:t>表1电动自行车用充电器</w:t>
      </w:r>
    </w:p>
    <w:p w14:paraId="6CE1E34F">
      <w:pPr>
        <w:spacing w:line="51" w:lineRule="auto"/>
        <w:rPr>
          <w:rFonts w:ascii="Arial"/>
          <w:sz w:val="2"/>
        </w:rPr>
      </w:pPr>
    </w:p>
    <w:tbl>
      <w:tblPr>
        <w:tblStyle w:val="5"/>
        <w:tblW w:w="8270" w:type="dxa"/>
        <w:tblInd w:w="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4"/>
        <w:gridCol w:w="3416"/>
        <w:gridCol w:w="3830"/>
      </w:tblGrid>
      <w:tr w14:paraId="7589D6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024" w:type="dxa"/>
            <w:vAlign w:val="top"/>
          </w:tcPr>
          <w:p w14:paraId="7EF355B6">
            <w:pPr>
              <w:pStyle w:val="6"/>
              <w:spacing w:before="174" w:line="221" w:lineRule="auto"/>
              <w:ind w:left="294"/>
            </w:pPr>
            <w:r>
              <w:rPr>
                <w:spacing w:val="6"/>
              </w:rPr>
              <w:t>序号</w:t>
            </w:r>
          </w:p>
        </w:tc>
        <w:tc>
          <w:tcPr>
            <w:tcW w:w="3416" w:type="dxa"/>
            <w:vAlign w:val="top"/>
          </w:tcPr>
          <w:p w14:paraId="3B696A87">
            <w:pPr>
              <w:pStyle w:val="6"/>
              <w:spacing w:before="173" w:line="219" w:lineRule="auto"/>
              <w:ind w:left="1281"/>
            </w:pPr>
            <w:r>
              <w:rPr>
                <w:spacing w:val="10"/>
              </w:rPr>
              <w:t>检验项目</w:t>
            </w:r>
          </w:p>
        </w:tc>
        <w:tc>
          <w:tcPr>
            <w:tcW w:w="3830" w:type="dxa"/>
            <w:vAlign w:val="top"/>
          </w:tcPr>
          <w:p w14:paraId="0EE64C7B">
            <w:pPr>
              <w:pStyle w:val="6"/>
              <w:spacing w:before="173" w:line="219" w:lineRule="auto"/>
              <w:ind w:left="1485"/>
            </w:pPr>
            <w:r>
              <w:rPr>
                <w:spacing w:val="-2"/>
              </w:rPr>
              <w:t>检验方法</w:t>
            </w:r>
          </w:p>
        </w:tc>
      </w:tr>
      <w:tr w14:paraId="1EC0B4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024" w:type="dxa"/>
            <w:vAlign w:val="top"/>
          </w:tcPr>
          <w:p w14:paraId="39216273">
            <w:pPr>
              <w:pStyle w:val="6"/>
              <w:spacing w:before="260" w:line="241" w:lineRule="auto"/>
              <w:ind w:left="445"/>
            </w:pPr>
            <w:r>
              <w:rPr>
                <w:color w:val="606050"/>
              </w:rPr>
              <w:t>1</w:t>
            </w:r>
          </w:p>
        </w:tc>
        <w:tc>
          <w:tcPr>
            <w:tcW w:w="3416" w:type="dxa"/>
            <w:vAlign w:val="top"/>
          </w:tcPr>
          <w:p w14:paraId="433CB0C4">
            <w:pPr>
              <w:pStyle w:val="6"/>
              <w:spacing w:before="239" w:line="219" w:lineRule="auto"/>
              <w:ind w:left="1281"/>
            </w:pPr>
            <w:r>
              <w:rPr>
                <w:spacing w:val="2"/>
              </w:rPr>
              <w:t>外壳冲击</w:t>
            </w:r>
          </w:p>
        </w:tc>
        <w:tc>
          <w:tcPr>
            <w:tcW w:w="3830" w:type="dxa"/>
            <w:vAlign w:val="top"/>
          </w:tcPr>
          <w:p w14:paraId="5989207E">
            <w:pPr>
              <w:pStyle w:val="6"/>
              <w:spacing w:before="141" w:line="232" w:lineRule="auto"/>
              <w:ind w:left="1175" w:right="1180" w:firstLine="49"/>
            </w:pPr>
            <w:r>
              <w:rPr>
                <w:spacing w:val="-1"/>
              </w:rPr>
              <w:t>GB 42296-2022</w:t>
            </w:r>
            <w:r>
              <w:rPr>
                <w:spacing w:val="6"/>
              </w:rPr>
              <w:t xml:space="preserve"> </w:t>
            </w:r>
            <w:r>
              <w:rPr>
                <w:spacing w:val="-1"/>
              </w:rPr>
              <w:t>GB 4706.1-2005</w:t>
            </w:r>
          </w:p>
        </w:tc>
      </w:tr>
      <w:tr w14:paraId="34F98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024" w:type="dxa"/>
            <w:vAlign w:val="top"/>
          </w:tcPr>
          <w:p w14:paraId="42BD40CA">
            <w:pPr>
              <w:pStyle w:val="6"/>
              <w:spacing w:before="261" w:line="241" w:lineRule="auto"/>
              <w:ind w:left="445"/>
            </w:pPr>
            <w:r>
              <w:t>2</w:t>
            </w:r>
          </w:p>
        </w:tc>
        <w:tc>
          <w:tcPr>
            <w:tcW w:w="3416" w:type="dxa"/>
            <w:vAlign w:val="top"/>
          </w:tcPr>
          <w:p w14:paraId="12AE2C27">
            <w:pPr>
              <w:pStyle w:val="6"/>
              <w:spacing w:before="241" w:line="221" w:lineRule="auto"/>
              <w:ind w:left="1491"/>
            </w:pPr>
            <w:r>
              <w:rPr>
                <w:color w:val="505060"/>
                <w:spacing w:val="-3"/>
              </w:rPr>
              <w:t>跌落</w:t>
            </w:r>
          </w:p>
        </w:tc>
        <w:tc>
          <w:tcPr>
            <w:tcW w:w="3830" w:type="dxa"/>
            <w:vAlign w:val="top"/>
          </w:tcPr>
          <w:p w14:paraId="7FE23CF1">
            <w:pPr>
              <w:pStyle w:val="6"/>
              <w:spacing w:before="152" w:line="227" w:lineRule="auto"/>
              <w:ind w:left="1175" w:right="1180" w:firstLine="49"/>
            </w:pPr>
            <w:r>
              <w:rPr>
                <w:spacing w:val="-1"/>
              </w:rPr>
              <w:t>GB 42296-2022</w:t>
            </w:r>
            <w:r>
              <w:rPr>
                <w:spacing w:val="6"/>
              </w:rPr>
              <w:t xml:space="preserve"> </w:t>
            </w:r>
            <w:r>
              <w:rPr>
                <w:spacing w:val="-1"/>
              </w:rPr>
              <w:t>GB 4706.1-2005</w:t>
            </w:r>
          </w:p>
        </w:tc>
      </w:tr>
      <w:tr w14:paraId="55ECC9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024" w:type="dxa"/>
            <w:vAlign w:val="top"/>
          </w:tcPr>
          <w:p w14:paraId="6B631CB3">
            <w:pPr>
              <w:pStyle w:val="6"/>
              <w:spacing w:before="262"/>
              <w:ind w:left="445"/>
            </w:pPr>
            <w:r>
              <w:rPr>
                <w:color w:val="505050"/>
              </w:rPr>
              <w:t>3</w:t>
            </w:r>
          </w:p>
        </w:tc>
        <w:tc>
          <w:tcPr>
            <w:tcW w:w="3416" w:type="dxa"/>
            <w:vAlign w:val="top"/>
          </w:tcPr>
          <w:p w14:paraId="422C078E">
            <w:pPr>
              <w:pStyle w:val="6"/>
              <w:spacing w:before="242" w:line="220" w:lineRule="auto"/>
              <w:ind w:left="1491"/>
            </w:pPr>
            <w:r>
              <w:rPr>
                <w:spacing w:val="6"/>
              </w:rPr>
              <w:t>结构</w:t>
            </w:r>
          </w:p>
        </w:tc>
        <w:tc>
          <w:tcPr>
            <w:tcW w:w="3830" w:type="dxa"/>
            <w:vAlign w:val="top"/>
          </w:tcPr>
          <w:p w14:paraId="70E4E2F0">
            <w:pPr>
              <w:pStyle w:val="6"/>
              <w:spacing w:before="161" w:line="223" w:lineRule="auto"/>
              <w:ind w:left="1175" w:right="1180" w:firstLine="49"/>
            </w:pPr>
            <w:r>
              <w:rPr>
                <w:spacing w:val="-1"/>
              </w:rPr>
              <w:t>GB 42296-2022</w:t>
            </w:r>
            <w:r>
              <w:rPr>
                <w:spacing w:val="6"/>
              </w:rPr>
              <w:t xml:space="preserve"> </w:t>
            </w:r>
            <w:r>
              <w:rPr>
                <w:spacing w:val="-1"/>
              </w:rPr>
              <w:t>GB 4706.1-2005</w:t>
            </w:r>
          </w:p>
        </w:tc>
      </w:tr>
      <w:tr w14:paraId="6368E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1024" w:type="dxa"/>
            <w:vAlign w:val="top"/>
          </w:tcPr>
          <w:p w14:paraId="4557ABFF">
            <w:pPr>
              <w:pStyle w:val="6"/>
              <w:spacing w:before="263" w:line="241" w:lineRule="auto"/>
              <w:ind w:left="445"/>
            </w:pPr>
            <w:r>
              <w:rPr>
                <w:color w:val="506050"/>
              </w:rPr>
              <w:t>4</w:t>
            </w:r>
          </w:p>
        </w:tc>
        <w:tc>
          <w:tcPr>
            <w:tcW w:w="3416" w:type="dxa"/>
            <w:vAlign w:val="top"/>
          </w:tcPr>
          <w:p w14:paraId="1A3E136A">
            <w:pPr>
              <w:pStyle w:val="6"/>
              <w:spacing w:before="241" w:line="219" w:lineRule="auto"/>
              <w:ind w:left="1281"/>
            </w:pPr>
            <w:r>
              <w:rPr>
                <w:spacing w:val="3"/>
              </w:rPr>
              <w:t>内部布线</w:t>
            </w:r>
          </w:p>
        </w:tc>
        <w:tc>
          <w:tcPr>
            <w:tcW w:w="3830" w:type="dxa"/>
            <w:vAlign w:val="top"/>
          </w:tcPr>
          <w:p w14:paraId="62382A07">
            <w:pPr>
              <w:pStyle w:val="6"/>
              <w:spacing w:before="163" w:line="226" w:lineRule="auto"/>
              <w:ind w:left="1175" w:right="1180" w:firstLine="49"/>
            </w:pPr>
            <w:r>
              <w:rPr>
                <w:spacing w:val="-1"/>
              </w:rPr>
              <w:t>GB 42296-2022</w:t>
            </w:r>
            <w:r>
              <w:rPr>
                <w:spacing w:val="6"/>
              </w:rPr>
              <w:t xml:space="preserve"> </w:t>
            </w:r>
            <w:r>
              <w:rPr>
                <w:spacing w:val="-1"/>
              </w:rPr>
              <w:t>GB 4706.1-2005</w:t>
            </w:r>
          </w:p>
        </w:tc>
      </w:tr>
      <w:tr w14:paraId="07080A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024" w:type="dxa"/>
            <w:vAlign w:val="top"/>
          </w:tcPr>
          <w:p w14:paraId="67D67631">
            <w:pPr>
              <w:pStyle w:val="6"/>
              <w:spacing w:before="265"/>
              <w:ind w:left="445"/>
            </w:pPr>
            <w:r>
              <w:rPr>
                <w:color w:val="406050"/>
              </w:rPr>
              <w:t>5</w:t>
            </w:r>
          </w:p>
        </w:tc>
        <w:tc>
          <w:tcPr>
            <w:tcW w:w="3416" w:type="dxa"/>
            <w:vAlign w:val="top"/>
          </w:tcPr>
          <w:p w14:paraId="32E36BEC">
            <w:pPr>
              <w:pStyle w:val="6"/>
              <w:spacing w:before="245" w:line="220" w:lineRule="auto"/>
              <w:ind w:left="1170"/>
            </w:pPr>
            <w:r>
              <w:rPr>
                <w:spacing w:val="3"/>
              </w:rPr>
              <w:t>防触电保护</w:t>
            </w:r>
          </w:p>
        </w:tc>
        <w:tc>
          <w:tcPr>
            <w:tcW w:w="3830" w:type="dxa"/>
            <w:vAlign w:val="top"/>
          </w:tcPr>
          <w:p w14:paraId="018FD870">
            <w:pPr>
              <w:pStyle w:val="6"/>
              <w:spacing w:before="154" w:line="226" w:lineRule="auto"/>
              <w:ind w:left="1175" w:right="1180" w:firstLine="49"/>
            </w:pPr>
            <w:r>
              <w:rPr>
                <w:spacing w:val="-1"/>
              </w:rPr>
              <w:t>GB 42296-2022</w:t>
            </w:r>
            <w:r>
              <w:rPr>
                <w:spacing w:val="6"/>
              </w:rPr>
              <w:t xml:space="preserve"> </w:t>
            </w:r>
            <w:r>
              <w:rPr>
                <w:spacing w:val="-1"/>
              </w:rPr>
              <w:t>GB 4706.1-2005</w:t>
            </w:r>
          </w:p>
        </w:tc>
      </w:tr>
      <w:tr w14:paraId="576E2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024" w:type="dxa"/>
            <w:vAlign w:val="top"/>
          </w:tcPr>
          <w:p w14:paraId="3405986C">
            <w:pPr>
              <w:pStyle w:val="6"/>
              <w:spacing w:before="166"/>
              <w:ind w:left="445"/>
            </w:pPr>
            <w:r>
              <w:rPr>
                <w:color w:val="304040"/>
              </w:rPr>
              <w:t>6</w:t>
            </w:r>
          </w:p>
        </w:tc>
        <w:tc>
          <w:tcPr>
            <w:tcW w:w="3416" w:type="dxa"/>
            <w:vAlign w:val="top"/>
          </w:tcPr>
          <w:p w14:paraId="4DB76583">
            <w:pPr>
              <w:pStyle w:val="6"/>
              <w:spacing w:before="145" w:line="219" w:lineRule="auto"/>
              <w:ind w:left="1380"/>
            </w:pPr>
            <w:r>
              <w:rPr>
                <w:spacing w:val="-3"/>
              </w:rPr>
              <w:t>熔断器</w:t>
            </w:r>
          </w:p>
        </w:tc>
        <w:tc>
          <w:tcPr>
            <w:tcW w:w="3830" w:type="dxa"/>
            <w:vAlign w:val="top"/>
          </w:tcPr>
          <w:p w14:paraId="6A96953C">
            <w:pPr>
              <w:pStyle w:val="6"/>
              <w:spacing w:before="166"/>
              <w:ind w:left="1224"/>
            </w:pPr>
            <w:r>
              <w:rPr>
                <w:spacing w:val="-1"/>
              </w:rPr>
              <w:t>GB 42296-2022</w:t>
            </w:r>
          </w:p>
        </w:tc>
      </w:tr>
      <w:tr w14:paraId="6E529F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1024" w:type="dxa"/>
            <w:vAlign w:val="top"/>
          </w:tcPr>
          <w:p w14:paraId="6EC31979">
            <w:pPr>
              <w:pStyle w:val="6"/>
              <w:spacing w:before="257"/>
              <w:ind w:left="445"/>
            </w:pPr>
            <w:r>
              <w:t>7</w:t>
            </w:r>
          </w:p>
        </w:tc>
        <w:tc>
          <w:tcPr>
            <w:tcW w:w="3416" w:type="dxa"/>
            <w:vAlign w:val="top"/>
          </w:tcPr>
          <w:p w14:paraId="577355CB">
            <w:pPr>
              <w:pStyle w:val="6"/>
              <w:spacing w:before="236" w:line="219" w:lineRule="auto"/>
              <w:ind w:left="860"/>
            </w:pPr>
            <w:r>
              <w:rPr>
                <w:spacing w:val="1"/>
              </w:rPr>
              <w:t>电源软线及输出线</w:t>
            </w:r>
          </w:p>
        </w:tc>
        <w:tc>
          <w:tcPr>
            <w:tcW w:w="3830" w:type="dxa"/>
            <w:vAlign w:val="top"/>
          </w:tcPr>
          <w:p w14:paraId="080593ED">
            <w:pPr>
              <w:pStyle w:val="6"/>
              <w:spacing w:before="158" w:line="220" w:lineRule="auto"/>
              <w:ind w:left="1175" w:right="1180" w:firstLine="49"/>
            </w:pPr>
            <w:r>
              <w:rPr>
                <w:spacing w:val="-1"/>
              </w:rPr>
              <w:t>GB 42296-2022</w:t>
            </w:r>
            <w:r>
              <w:rPr>
                <w:spacing w:val="6"/>
              </w:rPr>
              <w:t xml:space="preserve"> </w:t>
            </w:r>
            <w:r>
              <w:rPr>
                <w:spacing w:val="-1"/>
              </w:rPr>
              <w:t>GB 4706.1-2005</w:t>
            </w:r>
          </w:p>
        </w:tc>
      </w:tr>
      <w:tr w14:paraId="7D0904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1024" w:type="dxa"/>
            <w:vAlign w:val="top"/>
          </w:tcPr>
          <w:p w14:paraId="5BCA60EA">
            <w:pPr>
              <w:pStyle w:val="6"/>
              <w:spacing w:before="268"/>
              <w:ind w:left="445"/>
            </w:pPr>
            <w:r>
              <w:t>8</w:t>
            </w:r>
          </w:p>
        </w:tc>
        <w:tc>
          <w:tcPr>
            <w:tcW w:w="3416" w:type="dxa"/>
            <w:vAlign w:val="top"/>
          </w:tcPr>
          <w:p w14:paraId="5D9F6F37">
            <w:pPr>
              <w:pStyle w:val="6"/>
              <w:spacing w:before="248" w:line="220" w:lineRule="auto"/>
              <w:ind w:left="1281"/>
            </w:pPr>
            <w:r>
              <w:rPr>
                <w:spacing w:val="-2"/>
              </w:rPr>
              <w:t>接地措施</w:t>
            </w:r>
          </w:p>
        </w:tc>
        <w:tc>
          <w:tcPr>
            <w:tcW w:w="3830" w:type="dxa"/>
            <w:vAlign w:val="top"/>
          </w:tcPr>
          <w:p w14:paraId="6F2416B9">
            <w:pPr>
              <w:pStyle w:val="6"/>
              <w:spacing w:before="167" w:line="222" w:lineRule="auto"/>
              <w:ind w:left="1175" w:right="1180" w:firstLine="49"/>
            </w:pPr>
            <w:r>
              <w:rPr>
                <w:spacing w:val="-1"/>
              </w:rPr>
              <w:t>GB 42296-2022</w:t>
            </w:r>
            <w:r>
              <w:rPr>
                <w:spacing w:val="6"/>
              </w:rPr>
              <w:t xml:space="preserve"> </w:t>
            </w:r>
            <w:r>
              <w:rPr>
                <w:spacing w:val="-1"/>
              </w:rPr>
              <w:t>GB 4706.1-2005</w:t>
            </w:r>
          </w:p>
        </w:tc>
      </w:tr>
    </w:tbl>
    <w:p w14:paraId="50443B7D">
      <w:pPr>
        <w:pStyle w:val="2"/>
        <w:spacing w:before="213" w:line="219" w:lineRule="auto"/>
        <w:ind w:left="439"/>
      </w:pPr>
      <w:r>
        <w:rPr>
          <w:spacing w:val="-1"/>
        </w:rPr>
        <w:t>执行企业标准、团体标准、地方标准的产品，检验项目参照上述内容执行。</w:t>
      </w:r>
    </w:p>
    <w:p w14:paraId="7F6CE38C">
      <w:pPr>
        <w:pStyle w:val="2"/>
        <w:spacing w:before="160" w:line="380" w:lineRule="auto"/>
        <w:ind w:right="11" w:firstLine="439"/>
      </w:pPr>
      <w:r>
        <w:rPr>
          <w:spacing w:val="3"/>
        </w:rPr>
        <w:t>凡是注日期的文件，其随后所有的修改单(不包括勘误的内容)或修订版不适用于</w:t>
      </w:r>
      <w:r>
        <w:rPr>
          <w:spacing w:val="2"/>
        </w:rPr>
        <w:t>本细</w:t>
      </w:r>
      <w:r>
        <w:t xml:space="preserve"> </w:t>
      </w:r>
      <w:r>
        <w:rPr>
          <w:spacing w:val="-1"/>
        </w:rPr>
        <w:t>则。如样品未标注生产日期，且不注日期的文件，其最新</w:t>
      </w:r>
      <w:r>
        <w:rPr>
          <w:spacing w:val="-2"/>
        </w:rPr>
        <w:t>版本适用于本细则。</w:t>
      </w:r>
    </w:p>
    <w:p w14:paraId="679CFADC">
      <w:pPr>
        <w:spacing w:line="352" w:lineRule="auto"/>
        <w:rPr>
          <w:rFonts w:ascii="Arial"/>
          <w:sz w:val="21"/>
        </w:rPr>
      </w:pPr>
    </w:p>
    <w:p w14:paraId="6BFC1285">
      <w:pPr>
        <w:spacing w:before="68" w:line="222" w:lineRule="auto"/>
        <w:ind w:left="3"/>
        <w:rPr>
          <w:rFonts w:ascii="黑体" w:hAnsi="黑体" w:eastAsia="黑体" w:cs="黑体"/>
          <w:sz w:val="21"/>
          <w:szCs w:val="21"/>
        </w:rPr>
      </w:pPr>
      <w:r>
        <w:rPr>
          <w:rFonts w:ascii="黑体" w:hAnsi="黑体" w:eastAsia="黑体" w:cs="黑体"/>
          <w:b/>
          <w:bCs/>
          <w:spacing w:val="17"/>
          <w:sz w:val="21"/>
          <w:szCs w:val="21"/>
        </w:rPr>
        <w:t>3判定规则</w:t>
      </w:r>
    </w:p>
    <w:p w14:paraId="7CCA8786">
      <w:pPr>
        <w:pStyle w:val="2"/>
        <w:spacing w:before="261" w:line="219" w:lineRule="auto"/>
      </w:pPr>
      <w:r>
        <w:rPr>
          <w:spacing w:val="-2"/>
        </w:rPr>
        <w:t>3.1依据标准</w:t>
      </w:r>
    </w:p>
    <w:p w14:paraId="1946D9A9">
      <w:pPr>
        <w:pStyle w:val="2"/>
        <w:spacing w:before="202" w:line="219" w:lineRule="auto"/>
        <w:ind w:left="439"/>
      </w:pPr>
      <w:r>
        <w:t>GB 42296-2022</w:t>
      </w:r>
      <w:r>
        <w:rPr>
          <w:spacing w:val="-24"/>
        </w:rPr>
        <w:t xml:space="preserve"> </w:t>
      </w:r>
      <w:r>
        <w:t>电动自行车用充电</w:t>
      </w:r>
      <w:r>
        <w:rPr>
          <w:spacing w:val="-1"/>
        </w:rPr>
        <w:t>器安全技术要求</w:t>
      </w:r>
    </w:p>
    <w:p w14:paraId="29D88FA4">
      <w:pPr>
        <w:pStyle w:val="2"/>
        <w:spacing w:before="191" w:line="219" w:lineRule="auto"/>
        <w:ind w:left="439"/>
      </w:pPr>
      <w:r>
        <w:t>GB</w:t>
      </w:r>
      <w:r>
        <w:rPr>
          <w:spacing w:val="7"/>
        </w:rPr>
        <w:t xml:space="preserve"> 42296-2022电动自行车用充电器安全技术要求</w:t>
      </w:r>
      <w:r>
        <w:rPr>
          <w:spacing w:val="6"/>
        </w:rPr>
        <w:t>第1号修改单</w:t>
      </w:r>
    </w:p>
    <w:p w14:paraId="230A967B">
      <w:pPr>
        <w:spacing w:line="219" w:lineRule="auto"/>
        <w:sectPr>
          <w:pgSz w:w="11900" w:h="16830"/>
          <w:pgMar w:top="1430" w:right="1785" w:bottom="0" w:left="1780" w:header="0" w:footer="0" w:gutter="0"/>
          <w:cols w:space="720" w:num="1"/>
        </w:sectPr>
      </w:pPr>
    </w:p>
    <w:p w14:paraId="10A7EEC7">
      <w:pPr>
        <w:pStyle w:val="2"/>
        <w:spacing w:before="177" w:line="219" w:lineRule="auto"/>
        <w:ind w:left="434"/>
        <w:rPr>
          <w:sz w:val="20"/>
          <w:szCs w:val="20"/>
        </w:rPr>
      </w:pPr>
      <w:r>
        <w:rPr>
          <w:spacing w:val="9"/>
          <w:sz w:val="20"/>
          <w:szCs w:val="20"/>
        </w:rPr>
        <w:t>现行有效的企业标准、团体标准、地方标准及产品明示质量要求</w:t>
      </w:r>
    </w:p>
    <w:p w14:paraId="19003C51">
      <w:pPr>
        <w:spacing w:line="292" w:lineRule="auto"/>
        <w:rPr>
          <w:rFonts w:ascii="Arial"/>
          <w:sz w:val="21"/>
        </w:rPr>
      </w:pPr>
    </w:p>
    <w:p w14:paraId="3F696C50">
      <w:pPr>
        <w:spacing w:line="292" w:lineRule="auto"/>
        <w:rPr>
          <w:rFonts w:ascii="Arial"/>
          <w:sz w:val="21"/>
        </w:rPr>
      </w:pPr>
    </w:p>
    <w:p w14:paraId="1AD53759">
      <w:pPr>
        <w:pStyle w:val="2"/>
        <w:spacing w:before="65" w:line="220" w:lineRule="auto"/>
        <w:ind w:left="4"/>
        <w:rPr>
          <w:sz w:val="20"/>
          <w:szCs w:val="20"/>
        </w:rPr>
      </w:pPr>
      <w:r>
        <w:rPr>
          <w:spacing w:val="8"/>
          <w:sz w:val="20"/>
          <w:szCs w:val="20"/>
        </w:rPr>
        <w:t>3.2判定原则</w:t>
      </w:r>
    </w:p>
    <w:p w14:paraId="085EEE2B">
      <w:pPr>
        <w:pStyle w:val="2"/>
        <w:spacing w:before="181" w:line="415" w:lineRule="auto"/>
        <w:ind w:left="4" w:right="16" w:firstLine="419"/>
        <w:rPr>
          <w:sz w:val="20"/>
          <w:szCs w:val="20"/>
        </w:rPr>
      </w:pPr>
      <w:r>
        <w:rPr>
          <w:spacing w:val="8"/>
          <w:sz w:val="20"/>
          <w:szCs w:val="20"/>
        </w:rPr>
        <w:t>经检验，检验项目全部合格，判定为被抽查产品</w:t>
      </w:r>
      <w:r>
        <w:rPr>
          <w:spacing w:val="7"/>
          <w:sz w:val="20"/>
          <w:szCs w:val="20"/>
        </w:rPr>
        <w:t>所检项目未发现不合格；检验项目中任</w:t>
      </w:r>
      <w:r>
        <w:rPr>
          <w:sz w:val="20"/>
          <w:szCs w:val="20"/>
        </w:rPr>
        <w:t xml:space="preserve"> </w:t>
      </w:r>
      <w:r>
        <w:rPr>
          <w:spacing w:val="8"/>
          <w:sz w:val="20"/>
          <w:szCs w:val="20"/>
        </w:rPr>
        <w:t>一项或一项以上不合格，判定为被抽查产品不合格。</w:t>
      </w:r>
    </w:p>
    <w:p w14:paraId="75C4B7B0">
      <w:pPr>
        <w:pStyle w:val="2"/>
        <w:spacing w:before="1" w:line="400" w:lineRule="auto"/>
        <w:ind w:left="4" w:right="3" w:firstLine="429"/>
        <w:rPr>
          <w:sz w:val="20"/>
          <w:szCs w:val="20"/>
        </w:rPr>
      </w:pPr>
      <w:r>
        <w:rPr>
          <w:spacing w:val="8"/>
          <w:sz w:val="20"/>
          <w:szCs w:val="20"/>
        </w:rPr>
        <w:t>若被检产品明示的质量要求高于本细则中检验项目依据</w:t>
      </w:r>
      <w:r>
        <w:rPr>
          <w:spacing w:val="7"/>
          <w:sz w:val="20"/>
          <w:szCs w:val="20"/>
        </w:rPr>
        <w:t>的标准要求时，应按被检产品明</w:t>
      </w:r>
      <w:r>
        <w:rPr>
          <w:sz w:val="20"/>
          <w:szCs w:val="20"/>
        </w:rPr>
        <w:t xml:space="preserve"> </w:t>
      </w:r>
      <w:r>
        <w:rPr>
          <w:spacing w:val="4"/>
          <w:sz w:val="20"/>
          <w:szCs w:val="20"/>
        </w:rPr>
        <w:t>示的质量要求判定。</w:t>
      </w:r>
    </w:p>
    <w:p w14:paraId="399F5977">
      <w:pPr>
        <w:pStyle w:val="2"/>
        <w:spacing w:before="12" w:line="406" w:lineRule="auto"/>
        <w:ind w:left="4" w:right="15" w:firstLine="429"/>
        <w:rPr>
          <w:sz w:val="20"/>
          <w:szCs w:val="20"/>
        </w:rPr>
      </w:pPr>
      <w:r>
        <w:rPr>
          <w:spacing w:val="7"/>
          <w:sz w:val="20"/>
          <w:szCs w:val="20"/>
        </w:rPr>
        <w:t>若被检产品明示的质量要求低于本细则中检验项目依据的强制性标准要求时，应按照强</w:t>
      </w:r>
      <w:r>
        <w:rPr>
          <w:spacing w:val="13"/>
          <w:sz w:val="20"/>
          <w:szCs w:val="20"/>
        </w:rPr>
        <w:t xml:space="preserve"> </w:t>
      </w:r>
      <w:r>
        <w:rPr>
          <w:spacing w:val="4"/>
          <w:sz w:val="20"/>
          <w:szCs w:val="20"/>
        </w:rPr>
        <w:t>制性标准要求判定。</w:t>
      </w:r>
    </w:p>
    <w:p w14:paraId="4E022F35">
      <w:pPr>
        <w:pStyle w:val="2"/>
        <w:spacing w:before="2" w:line="396" w:lineRule="auto"/>
        <w:ind w:left="4" w:right="16" w:firstLine="429"/>
        <w:rPr>
          <w:sz w:val="20"/>
          <w:szCs w:val="20"/>
        </w:rPr>
      </w:pPr>
      <w:r>
        <w:rPr>
          <w:spacing w:val="7"/>
          <w:sz w:val="20"/>
          <w:szCs w:val="20"/>
        </w:rPr>
        <w:t>若被检产品明示的质量要求低于或包含本细则中检验项目依据的推荐性标准要求时，应</w:t>
      </w:r>
      <w:r>
        <w:rPr>
          <w:spacing w:val="11"/>
          <w:sz w:val="20"/>
          <w:szCs w:val="20"/>
        </w:rPr>
        <w:t xml:space="preserve"> </w:t>
      </w:r>
      <w:r>
        <w:rPr>
          <w:spacing w:val="5"/>
          <w:sz w:val="20"/>
          <w:szCs w:val="20"/>
        </w:rPr>
        <w:t>以被检产品明示的质量要求判定。</w:t>
      </w:r>
    </w:p>
    <w:p w14:paraId="67A63E20">
      <w:pPr>
        <w:pStyle w:val="2"/>
        <w:spacing w:before="1" w:line="415" w:lineRule="auto"/>
        <w:ind w:left="4" w:right="15" w:firstLine="429"/>
        <w:rPr>
          <w:sz w:val="20"/>
          <w:szCs w:val="20"/>
        </w:rPr>
      </w:pPr>
      <w:r>
        <w:rPr>
          <w:spacing w:val="7"/>
          <w:sz w:val="20"/>
          <w:szCs w:val="20"/>
        </w:rPr>
        <w:t>若被检产品明示的质量要求缺少本细则中检验项目依据的强制性标准要求时，应按照强</w:t>
      </w:r>
      <w:r>
        <w:rPr>
          <w:spacing w:val="13"/>
          <w:sz w:val="20"/>
          <w:szCs w:val="20"/>
        </w:rPr>
        <w:t xml:space="preserve"> </w:t>
      </w:r>
      <w:r>
        <w:rPr>
          <w:spacing w:val="4"/>
          <w:sz w:val="20"/>
          <w:szCs w:val="20"/>
        </w:rPr>
        <w:t>制性标准要求判定。</w:t>
      </w:r>
    </w:p>
    <w:p w14:paraId="42F60410">
      <w:pPr>
        <w:pStyle w:val="2"/>
        <w:spacing w:before="1" w:line="409" w:lineRule="auto"/>
        <w:ind w:left="4" w:right="14" w:firstLine="429"/>
        <w:rPr>
          <w:sz w:val="20"/>
          <w:szCs w:val="20"/>
        </w:rPr>
      </w:pPr>
      <w:r>
        <w:rPr>
          <w:spacing w:val="7"/>
          <w:sz w:val="20"/>
          <w:szCs w:val="20"/>
        </w:rPr>
        <w:t>若被检产品明示的质量要求缺少本细则中检验项目依据的推荐性标准要求时，该项目不</w:t>
      </w:r>
      <w:r>
        <w:rPr>
          <w:spacing w:val="13"/>
          <w:sz w:val="20"/>
          <w:szCs w:val="20"/>
        </w:rPr>
        <w:t xml:space="preserve"> </w:t>
      </w:r>
      <w:r>
        <w:rPr>
          <w:spacing w:val="3"/>
          <w:sz w:val="20"/>
          <w:szCs w:val="20"/>
        </w:rPr>
        <w:t>参与判定。</w:t>
      </w:r>
    </w:p>
    <w:sectPr>
      <w:pgSz w:w="11900" w:h="16830"/>
      <w:pgMar w:top="1430" w:right="1785"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605D7E6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697</Words>
  <Characters>882</Characters>
  <TotalTime>0</TotalTime>
  <ScaleCrop>false</ScaleCrop>
  <LinksUpToDate>false</LinksUpToDate>
  <CharactersWithSpaces>916</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2025-05-01T16:16:00Z</dcterms:created>
  <dc:creator>Administrator</dc:creator>
  <cp:lastModifiedBy>WPS_1645145261</cp:lastModifiedBy>
  <dcterms:modified xsi:type="dcterms:W3CDTF">2025-05-01T08:16:44Z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2025-05-01T16:16:34Z</vt:filetime>
  </property>
  <property fmtid="{D5CDD505-2E9C-101B-9397-08002B2CF9AE}" pid="4" name="UsrData">
    <vt:lpwstr>68132de01087f5001f18df40wl</vt:lpwstr>
  </property>
  <property fmtid="{D5CDD505-2E9C-101B-9397-08002B2CF9AE}" pid="5" name="KSOTemplateDocerSaveRecord">
    <vt:lpwstr>eyJoZGlkIjoiNGM2Mzk5Y2RjNmRkNzEyNDEyMWU0N2NiZTdlNDQwYWMiLCJ1c2VySWQiOiIxMzMyNjU5MzYzIn0=</vt:lpwstr>
  </property>
  <property fmtid="{D5CDD505-2E9C-101B-9397-08002B2CF9AE}" pid="6" name="KSOProductBuildVer">
    <vt:lpwstr>2052-12.1.0.20784</vt:lpwstr>
  </property>
  <property fmtid="{D5CDD505-2E9C-101B-9397-08002B2CF9AE}" pid="7" name="ICV">
    <vt:lpwstr>7A128514326D450D96662E7F6944956B_12</vt:lpwstr>
  </property>
</Properties>
</file>