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613AE">
      <w:pPr>
        <w:spacing w:before="207" w:line="194" w:lineRule="auto"/>
        <w:ind w:left="463"/>
        <w:outlineLvl w:val="0"/>
        <w:rPr>
          <w:rFonts w:ascii="微软雅黑" w:hAnsi="微软雅黑" w:eastAsia="微软雅黑" w:cs="微软雅黑"/>
          <w:sz w:val="31"/>
          <w:szCs w:val="31"/>
        </w:rPr>
      </w:pPr>
      <w:r>
        <w:rPr>
          <w:rFonts w:hint="eastAsia" w:ascii="微软雅黑" w:hAnsi="微软雅黑" w:eastAsia="微软雅黑" w:cs="微软雅黑"/>
          <w:spacing w:val="2"/>
          <w:sz w:val="31"/>
          <w:szCs w:val="31"/>
          <w:lang w:val="en-US" w:eastAsia="zh-CN"/>
        </w:rPr>
        <w:t>通城县</w:t>
      </w:r>
      <w:bookmarkStart w:id="0" w:name="_GoBack"/>
      <w:bookmarkEnd w:id="0"/>
      <w:r>
        <w:rPr>
          <w:rFonts w:ascii="微软雅黑" w:hAnsi="微软雅黑" w:eastAsia="微软雅黑" w:cs="微软雅黑"/>
          <w:spacing w:val="2"/>
          <w:sz w:val="31"/>
          <w:szCs w:val="31"/>
        </w:rPr>
        <w:t>灯具产品质量监督抽查实施细则（</w:t>
      </w:r>
      <w:r>
        <w:rPr>
          <w:rFonts w:ascii="微软雅黑" w:hAnsi="微软雅黑" w:eastAsia="微软雅黑" w:cs="微软雅黑"/>
          <w:spacing w:val="69"/>
          <w:sz w:val="31"/>
          <w:szCs w:val="31"/>
        </w:rPr>
        <w:t xml:space="preserve"> </w:t>
      </w:r>
      <w:r>
        <w:rPr>
          <w:rFonts w:ascii="Calibri" w:hAnsi="Calibri" w:eastAsia="Calibri" w:cs="Calibri"/>
          <w:spacing w:val="2"/>
          <w:sz w:val="31"/>
          <w:szCs w:val="31"/>
        </w:rPr>
        <w:t>2025</w:t>
      </w:r>
      <w:r>
        <w:rPr>
          <w:rFonts w:ascii="Calibri" w:hAnsi="Calibri" w:eastAsia="Calibri" w:cs="Calibri"/>
          <w:spacing w:val="37"/>
          <w:w w:val="101"/>
          <w:sz w:val="31"/>
          <w:szCs w:val="31"/>
        </w:rPr>
        <w:t xml:space="preserve"> </w:t>
      </w:r>
      <w:r>
        <w:rPr>
          <w:rFonts w:ascii="微软雅黑" w:hAnsi="微软雅黑" w:eastAsia="微软雅黑" w:cs="微软雅黑"/>
          <w:spacing w:val="2"/>
          <w:sz w:val="31"/>
          <w:szCs w:val="31"/>
        </w:rPr>
        <w:t>年版）</w:t>
      </w:r>
    </w:p>
    <w:p w14:paraId="235A8E3A">
      <w:pPr>
        <w:spacing w:line="328" w:lineRule="auto"/>
        <w:rPr>
          <w:rFonts w:ascii="Arial"/>
          <w:sz w:val="21"/>
        </w:rPr>
      </w:pPr>
    </w:p>
    <w:p w14:paraId="7BC65894">
      <w:pPr>
        <w:spacing w:line="328" w:lineRule="auto"/>
        <w:rPr>
          <w:rFonts w:ascii="Arial"/>
          <w:sz w:val="21"/>
        </w:rPr>
      </w:pPr>
    </w:p>
    <w:p w14:paraId="41E2C89C">
      <w:pPr>
        <w:spacing w:before="68" w:line="221" w:lineRule="auto"/>
        <w:ind w:left="32"/>
        <w:rPr>
          <w:rFonts w:ascii="黑体" w:hAnsi="黑体" w:eastAsia="黑体" w:cs="黑体"/>
          <w:sz w:val="21"/>
          <w:szCs w:val="21"/>
        </w:rPr>
      </w:pPr>
      <w:r>
        <w:rPr>
          <w:rFonts w:ascii="黑体" w:hAnsi="黑体" w:eastAsia="黑体" w:cs="黑体"/>
          <w:spacing w:val="-6"/>
          <w:sz w:val="21"/>
          <w:szCs w:val="21"/>
        </w:rPr>
        <w:t>1</w:t>
      </w:r>
      <w:r>
        <w:rPr>
          <w:rFonts w:ascii="黑体" w:hAnsi="黑体" w:eastAsia="黑体" w:cs="黑体"/>
          <w:spacing w:val="12"/>
          <w:sz w:val="21"/>
          <w:szCs w:val="21"/>
        </w:rPr>
        <w:t xml:space="preserve"> </w:t>
      </w:r>
      <w:r>
        <w:rPr>
          <w:rFonts w:ascii="黑体" w:hAnsi="黑体" w:eastAsia="黑体" w:cs="黑体"/>
          <w:spacing w:val="-6"/>
          <w:sz w:val="21"/>
          <w:szCs w:val="21"/>
        </w:rPr>
        <w:t>抽样方法</w:t>
      </w:r>
    </w:p>
    <w:p w14:paraId="27331C16">
      <w:pPr>
        <w:pStyle w:val="2"/>
        <w:spacing w:before="190" w:line="373" w:lineRule="auto"/>
        <w:ind w:left="452" w:right="2059" w:firstLine="12"/>
      </w:pPr>
      <w:r>
        <w:rPr>
          <w:spacing w:val="-2"/>
        </w:rPr>
        <w:t>以随机抽样的方式在被抽样生产者、销售者的</w:t>
      </w:r>
      <w:r>
        <w:rPr>
          <w:spacing w:val="-3"/>
        </w:rPr>
        <w:t>待销产品中抽取。</w:t>
      </w:r>
      <w:r>
        <w:t xml:space="preserve"> </w:t>
      </w:r>
      <w:r>
        <w:rPr>
          <w:spacing w:val="-3"/>
        </w:rPr>
        <w:t>随机数一般可使用随机数表等方法产生。</w:t>
      </w:r>
    </w:p>
    <w:p w14:paraId="2174DFB4">
      <w:pPr>
        <w:pStyle w:val="2"/>
        <w:spacing w:before="30" w:line="378" w:lineRule="auto"/>
        <w:ind w:left="20" w:right="23" w:firstLine="420"/>
        <w:jc w:val="both"/>
      </w:pPr>
      <w:r>
        <w:rPr>
          <w:spacing w:val="-2"/>
        </w:rPr>
        <w:t>对于普通照明用非定向自镇流</w:t>
      </w:r>
      <w:r>
        <w:rPr>
          <w:spacing w:val="-46"/>
        </w:rPr>
        <w:t xml:space="preserve"> </w:t>
      </w:r>
      <w:r>
        <w:rPr>
          <w:spacing w:val="-2"/>
        </w:rPr>
        <w:t>LED</w:t>
      </w:r>
      <w:r>
        <w:rPr>
          <w:spacing w:val="-44"/>
        </w:rPr>
        <w:t xml:space="preserve"> </w:t>
      </w:r>
      <w:r>
        <w:rPr>
          <w:spacing w:val="-2"/>
        </w:rPr>
        <w:t>灯产品，随机抽取</w:t>
      </w:r>
      <w:r>
        <w:rPr>
          <w:spacing w:val="-3"/>
        </w:rPr>
        <w:t>同一种规格型号</w:t>
      </w:r>
      <w:r>
        <w:rPr>
          <w:spacing w:val="-45"/>
        </w:rPr>
        <w:t xml:space="preserve"> </w:t>
      </w:r>
      <w:r>
        <w:rPr>
          <w:spacing w:val="-3"/>
        </w:rPr>
        <w:t>4</w:t>
      </w:r>
      <w:r>
        <w:rPr>
          <w:spacing w:val="-45"/>
        </w:rPr>
        <w:t xml:space="preserve"> </w:t>
      </w:r>
      <w:r>
        <w:rPr>
          <w:spacing w:val="-3"/>
        </w:rPr>
        <w:t>件产品，其中</w:t>
      </w:r>
      <w:r>
        <w:rPr>
          <w:spacing w:val="-40"/>
        </w:rPr>
        <w:t xml:space="preserve"> </w:t>
      </w:r>
      <w:r>
        <w:rPr>
          <w:spacing w:val="-3"/>
        </w:rPr>
        <w:t>3</w:t>
      </w:r>
      <w:r>
        <w:t xml:space="preserve"> </w:t>
      </w:r>
      <w:r>
        <w:rPr>
          <w:spacing w:val="-1"/>
        </w:rPr>
        <w:t>件产品作为检验样品，1</w:t>
      </w:r>
      <w:r>
        <w:rPr>
          <w:spacing w:val="-32"/>
        </w:rPr>
        <w:t xml:space="preserve"> </w:t>
      </w:r>
      <w:r>
        <w:rPr>
          <w:spacing w:val="-1"/>
        </w:rPr>
        <w:t>件产品作为备样；对于其他灯具产品，随机抽取同一种规格型号</w:t>
      </w:r>
      <w:r>
        <w:rPr>
          <w:spacing w:val="-42"/>
        </w:rPr>
        <w:t xml:space="preserve"> </w:t>
      </w:r>
      <w:r>
        <w:rPr>
          <w:spacing w:val="-1"/>
        </w:rPr>
        <w:t>2</w:t>
      </w:r>
      <w:r>
        <w:t xml:space="preserve"> </w:t>
      </w:r>
      <w:r>
        <w:rPr>
          <w:spacing w:val="-4"/>
        </w:rPr>
        <w:t>件产品，其中</w:t>
      </w:r>
      <w:r>
        <w:rPr>
          <w:spacing w:val="-18"/>
        </w:rPr>
        <w:t xml:space="preserve"> </w:t>
      </w:r>
      <w:r>
        <w:rPr>
          <w:spacing w:val="-4"/>
        </w:rPr>
        <w:t>1</w:t>
      </w:r>
      <w:r>
        <w:rPr>
          <w:spacing w:val="-45"/>
        </w:rPr>
        <w:t xml:space="preserve"> </w:t>
      </w:r>
      <w:r>
        <w:rPr>
          <w:spacing w:val="-4"/>
        </w:rPr>
        <w:t>件产品为检验样品，另</w:t>
      </w:r>
      <w:r>
        <w:rPr>
          <w:spacing w:val="-29"/>
        </w:rPr>
        <w:t xml:space="preserve"> </w:t>
      </w:r>
      <w:r>
        <w:rPr>
          <w:spacing w:val="-4"/>
        </w:rPr>
        <w:t>1</w:t>
      </w:r>
      <w:r>
        <w:rPr>
          <w:spacing w:val="-45"/>
        </w:rPr>
        <w:t xml:space="preserve"> </w:t>
      </w:r>
      <w:r>
        <w:rPr>
          <w:spacing w:val="-4"/>
        </w:rPr>
        <w:t>件产品为备用样品。</w:t>
      </w:r>
    </w:p>
    <w:p w14:paraId="011F69D6">
      <w:pPr>
        <w:spacing w:line="398" w:lineRule="auto"/>
        <w:rPr>
          <w:rFonts w:ascii="Arial"/>
          <w:sz w:val="21"/>
        </w:rPr>
      </w:pPr>
    </w:p>
    <w:p w14:paraId="49E71E13">
      <w:pPr>
        <w:spacing w:before="69" w:line="222" w:lineRule="auto"/>
        <w:ind w:left="19"/>
        <w:rPr>
          <w:rFonts w:ascii="黑体" w:hAnsi="黑体" w:eastAsia="黑体" w:cs="黑体"/>
          <w:sz w:val="21"/>
          <w:szCs w:val="21"/>
        </w:rPr>
      </w:pPr>
      <w:r>
        <w:rPr>
          <w:rFonts w:ascii="黑体" w:hAnsi="黑体" w:eastAsia="黑体" w:cs="黑体"/>
          <w:spacing w:val="-1"/>
          <w:sz w:val="21"/>
          <w:szCs w:val="21"/>
        </w:rPr>
        <w:t>2 检验依据</w:t>
      </w:r>
    </w:p>
    <w:p w14:paraId="396B5260">
      <w:pPr>
        <w:pStyle w:val="2"/>
        <w:spacing w:before="187" w:line="220" w:lineRule="auto"/>
        <w:ind w:left="2257"/>
      </w:pPr>
      <w:r>
        <w:rPr>
          <w:spacing w:val="-3"/>
        </w:rPr>
        <w:t>表</w:t>
      </w:r>
      <w:r>
        <w:rPr>
          <w:spacing w:val="-15"/>
        </w:rPr>
        <w:t xml:space="preserve"> </w:t>
      </w:r>
      <w:r>
        <w:rPr>
          <w:spacing w:val="-3"/>
        </w:rPr>
        <w:t>1 普通照明用非定向自镇流</w:t>
      </w:r>
      <w:r>
        <w:rPr>
          <w:spacing w:val="-45"/>
        </w:rPr>
        <w:t xml:space="preserve"> </w:t>
      </w:r>
      <w:r>
        <w:rPr>
          <w:spacing w:val="-3"/>
        </w:rPr>
        <w:t>LED</w:t>
      </w:r>
      <w:r>
        <w:rPr>
          <w:spacing w:val="-44"/>
        </w:rPr>
        <w:t xml:space="preserve"> </w:t>
      </w:r>
      <w:r>
        <w:rPr>
          <w:spacing w:val="-3"/>
        </w:rPr>
        <w:t>灯产品</w:t>
      </w:r>
    </w:p>
    <w:p w14:paraId="664AF2BD">
      <w:pPr>
        <w:spacing w:line="20" w:lineRule="exact"/>
      </w:pPr>
    </w:p>
    <w:tbl>
      <w:tblPr>
        <w:tblStyle w:val="5"/>
        <w:tblW w:w="822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6"/>
        <w:gridCol w:w="3478"/>
        <w:gridCol w:w="3960"/>
      </w:tblGrid>
      <w:tr w14:paraId="18DC7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86" w:type="dxa"/>
            <w:vAlign w:val="top"/>
          </w:tcPr>
          <w:p w14:paraId="50CA3B8B">
            <w:pPr>
              <w:spacing w:before="156" w:line="221" w:lineRule="auto"/>
              <w:ind w:left="185"/>
              <w:rPr>
                <w:rFonts w:ascii="宋体" w:hAnsi="宋体" w:eastAsia="宋体" w:cs="宋体"/>
                <w:sz w:val="21"/>
                <w:szCs w:val="21"/>
              </w:rPr>
            </w:pPr>
            <w:r>
              <w:rPr>
                <w:rFonts w:ascii="宋体" w:hAnsi="宋体" w:eastAsia="宋体" w:cs="宋体"/>
                <w:b/>
                <w:bCs/>
                <w:spacing w:val="-4"/>
                <w:sz w:val="21"/>
                <w:szCs w:val="21"/>
              </w:rPr>
              <w:t>序号</w:t>
            </w:r>
          </w:p>
        </w:tc>
        <w:tc>
          <w:tcPr>
            <w:tcW w:w="3478" w:type="dxa"/>
            <w:vAlign w:val="top"/>
          </w:tcPr>
          <w:p w14:paraId="5B8D5B09">
            <w:pPr>
              <w:spacing w:before="156" w:line="220" w:lineRule="auto"/>
              <w:ind w:left="1321"/>
              <w:rPr>
                <w:rFonts w:ascii="宋体" w:hAnsi="宋体" w:eastAsia="宋体" w:cs="宋体"/>
                <w:sz w:val="21"/>
                <w:szCs w:val="21"/>
              </w:rPr>
            </w:pPr>
            <w:r>
              <w:rPr>
                <w:rFonts w:ascii="宋体" w:hAnsi="宋体" w:eastAsia="宋体" w:cs="宋体"/>
                <w:b/>
                <w:bCs/>
                <w:spacing w:val="-4"/>
                <w:sz w:val="21"/>
                <w:szCs w:val="21"/>
              </w:rPr>
              <w:t>检验项目</w:t>
            </w:r>
          </w:p>
        </w:tc>
        <w:tc>
          <w:tcPr>
            <w:tcW w:w="3960" w:type="dxa"/>
            <w:vAlign w:val="top"/>
          </w:tcPr>
          <w:p w14:paraId="3763D4DD">
            <w:pPr>
              <w:spacing w:before="156" w:line="220" w:lineRule="auto"/>
              <w:ind w:left="1562"/>
              <w:rPr>
                <w:rFonts w:ascii="宋体" w:hAnsi="宋体" w:eastAsia="宋体" w:cs="宋体"/>
                <w:sz w:val="21"/>
                <w:szCs w:val="21"/>
              </w:rPr>
            </w:pPr>
            <w:r>
              <w:rPr>
                <w:rFonts w:ascii="宋体" w:hAnsi="宋体" w:eastAsia="宋体" w:cs="宋体"/>
                <w:b/>
                <w:bCs/>
                <w:spacing w:val="-4"/>
                <w:sz w:val="21"/>
                <w:szCs w:val="21"/>
              </w:rPr>
              <w:t>检测方法</w:t>
            </w:r>
          </w:p>
        </w:tc>
      </w:tr>
      <w:tr w14:paraId="5767F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86" w:type="dxa"/>
            <w:vAlign w:val="top"/>
          </w:tcPr>
          <w:p w14:paraId="4D851A35">
            <w:pPr>
              <w:spacing w:before="219" w:line="186" w:lineRule="auto"/>
              <w:ind w:left="366"/>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3478" w:type="dxa"/>
            <w:vAlign w:val="top"/>
          </w:tcPr>
          <w:p w14:paraId="61680792">
            <w:pPr>
              <w:spacing w:before="172" w:line="220" w:lineRule="auto"/>
              <w:ind w:left="112"/>
              <w:rPr>
                <w:rFonts w:ascii="宋体" w:hAnsi="宋体" w:eastAsia="宋体" w:cs="宋体"/>
                <w:sz w:val="21"/>
                <w:szCs w:val="21"/>
              </w:rPr>
            </w:pPr>
            <w:r>
              <w:rPr>
                <w:rFonts w:ascii="宋体" w:hAnsi="宋体" w:eastAsia="宋体" w:cs="宋体"/>
                <w:spacing w:val="-3"/>
                <w:sz w:val="21"/>
                <w:szCs w:val="21"/>
              </w:rPr>
              <w:t>标志</w:t>
            </w:r>
          </w:p>
        </w:tc>
        <w:tc>
          <w:tcPr>
            <w:tcW w:w="3960" w:type="dxa"/>
            <w:vAlign w:val="top"/>
          </w:tcPr>
          <w:p w14:paraId="767A955B">
            <w:pPr>
              <w:pStyle w:val="6"/>
              <w:spacing w:before="213" w:line="179" w:lineRule="auto"/>
              <w:ind w:left="1106"/>
            </w:pPr>
            <w:r>
              <w:rPr>
                <w:spacing w:val="-2"/>
              </w:rPr>
              <w:t>GB</w:t>
            </w:r>
            <w:r>
              <w:rPr>
                <w:spacing w:val="22"/>
              </w:rPr>
              <w:t xml:space="preserve"> </w:t>
            </w:r>
            <w:r>
              <w:rPr>
                <w:spacing w:val="-2"/>
              </w:rPr>
              <w:t>24906—2010 5.1</w:t>
            </w:r>
          </w:p>
        </w:tc>
      </w:tr>
      <w:tr w14:paraId="29A6A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86" w:type="dxa"/>
            <w:vAlign w:val="top"/>
          </w:tcPr>
          <w:p w14:paraId="5D54A81A">
            <w:pPr>
              <w:spacing w:before="221" w:line="186" w:lineRule="auto"/>
              <w:ind w:left="349"/>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3478" w:type="dxa"/>
            <w:vAlign w:val="top"/>
          </w:tcPr>
          <w:p w14:paraId="3D3B62D2">
            <w:pPr>
              <w:spacing w:before="172" w:line="220" w:lineRule="auto"/>
              <w:ind w:left="116"/>
              <w:rPr>
                <w:rFonts w:ascii="宋体" w:hAnsi="宋体" w:eastAsia="宋体" w:cs="宋体"/>
                <w:sz w:val="21"/>
                <w:szCs w:val="21"/>
              </w:rPr>
            </w:pPr>
            <w:r>
              <w:rPr>
                <w:rFonts w:ascii="宋体" w:hAnsi="宋体" w:eastAsia="宋体" w:cs="宋体"/>
                <w:spacing w:val="-2"/>
                <w:sz w:val="21"/>
                <w:szCs w:val="21"/>
              </w:rPr>
              <w:t>意外接触带电部件的防护</w:t>
            </w:r>
          </w:p>
        </w:tc>
        <w:tc>
          <w:tcPr>
            <w:tcW w:w="3960" w:type="dxa"/>
            <w:vAlign w:val="top"/>
          </w:tcPr>
          <w:p w14:paraId="1A5B2A66">
            <w:pPr>
              <w:pStyle w:val="6"/>
              <w:spacing w:before="216" w:line="179" w:lineRule="auto"/>
              <w:ind w:left="1187"/>
            </w:pPr>
            <w:r>
              <w:rPr>
                <w:spacing w:val="-1"/>
              </w:rPr>
              <w:t>GB</w:t>
            </w:r>
            <w:r>
              <w:rPr>
                <w:spacing w:val="13"/>
              </w:rPr>
              <w:t xml:space="preserve"> </w:t>
            </w:r>
            <w:r>
              <w:rPr>
                <w:spacing w:val="-1"/>
              </w:rPr>
              <w:t>24906—2010 7</w:t>
            </w:r>
          </w:p>
        </w:tc>
      </w:tr>
      <w:tr w14:paraId="5FB93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86" w:type="dxa"/>
            <w:vAlign w:val="top"/>
          </w:tcPr>
          <w:p w14:paraId="025FAE70">
            <w:pPr>
              <w:spacing w:before="221" w:line="186" w:lineRule="auto"/>
              <w:ind w:left="352"/>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3478" w:type="dxa"/>
            <w:vAlign w:val="top"/>
          </w:tcPr>
          <w:p w14:paraId="246A7C96">
            <w:pPr>
              <w:spacing w:before="173" w:line="219" w:lineRule="auto"/>
              <w:ind w:left="110"/>
              <w:rPr>
                <w:rFonts w:ascii="宋体" w:hAnsi="宋体" w:eastAsia="宋体" w:cs="宋体"/>
                <w:sz w:val="21"/>
                <w:szCs w:val="21"/>
              </w:rPr>
            </w:pPr>
            <w:r>
              <w:rPr>
                <w:rFonts w:ascii="宋体" w:hAnsi="宋体" w:eastAsia="宋体" w:cs="宋体"/>
                <w:spacing w:val="-1"/>
                <w:sz w:val="21"/>
                <w:szCs w:val="21"/>
              </w:rPr>
              <w:t>潮湿处理后的绝缘电阻和介电强度</w:t>
            </w:r>
          </w:p>
        </w:tc>
        <w:tc>
          <w:tcPr>
            <w:tcW w:w="3960" w:type="dxa"/>
            <w:vAlign w:val="top"/>
          </w:tcPr>
          <w:p w14:paraId="185E5A44">
            <w:pPr>
              <w:pStyle w:val="6"/>
              <w:spacing w:before="215" w:line="179" w:lineRule="auto"/>
              <w:ind w:left="1187"/>
            </w:pPr>
            <w:r>
              <w:rPr>
                <w:spacing w:val="-1"/>
              </w:rPr>
              <w:t>GB</w:t>
            </w:r>
            <w:r>
              <w:rPr>
                <w:spacing w:val="12"/>
              </w:rPr>
              <w:t xml:space="preserve"> </w:t>
            </w:r>
            <w:r>
              <w:rPr>
                <w:spacing w:val="-1"/>
              </w:rPr>
              <w:t>24906—2010 8</w:t>
            </w:r>
          </w:p>
        </w:tc>
      </w:tr>
      <w:tr w14:paraId="32E72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86" w:type="dxa"/>
            <w:vAlign w:val="top"/>
          </w:tcPr>
          <w:p w14:paraId="135CA2B9">
            <w:pPr>
              <w:spacing w:before="223" w:line="186" w:lineRule="auto"/>
              <w:ind w:left="348"/>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3478" w:type="dxa"/>
            <w:vAlign w:val="top"/>
          </w:tcPr>
          <w:p w14:paraId="21A23B47">
            <w:pPr>
              <w:spacing w:before="174" w:line="219" w:lineRule="auto"/>
              <w:ind w:left="110"/>
              <w:rPr>
                <w:rFonts w:ascii="宋体" w:hAnsi="宋体" w:eastAsia="宋体" w:cs="宋体"/>
                <w:sz w:val="21"/>
                <w:szCs w:val="21"/>
              </w:rPr>
            </w:pPr>
            <w:r>
              <w:rPr>
                <w:rFonts w:ascii="宋体" w:hAnsi="宋体" w:eastAsia="宋体" w:cs="宋体"/>
                <w:spacing w:val="-1"/>
                <w:sz w:val="21"/>
                <w:szCs w:val="21"/>
              </w:rPr>
              <w:t>机械强度/未使用过的灯的抗扭矩</w:t>
            </w:r>
          </w:p>
        </w:tc>
        <w:tc>
          <w:tcPr>
            <w:tcW w:w="3960" w:type="dxa"/>
            <w:vAlign w:val="top"/>
          </w:tcPr>
          <w:p w14:paraId="02331D73">
            <w:pPr>
              <w:pStyle w:val="6"/>
              <w:spacing w:before="218" w:line="179" w:lineRule="auto"/>
              <w:ind w:left="1106"/>
            </w:pPr>
            <w:r>
              <w:rPr>
                <w:spacing w:val="-2"/>
              </w:rPr>
              <w:t>GB</w:t>
            </w:r>
            <w:r>
              <w:rPr>
                <w:spacing w:val="22"/>
              </w:rPr>
              <w:t xml:space="preserve"> </w:t>
            </w:r>
            <w:r>
              <w:rPr>
                <w:spacing w:val="-2"/>
              </w:rPr>
              <w:t>24906—2010 9.1</w:t>
            </w:r>
          </w:p>
        </w:tc>
      </w:tr>
    </w:tbl>
    <w:p w14:paraId="7269DAD0">
      <w:pPr>
        <w:spacing w:line="269" w:lineRule="auto"/>
        <w:rPr>
          <w:rFonts w:ascii="Arial"/>
          <w:sz w:val="21"/>
        </w:rPr>
      </w:pPr>
    </w:p>
    <w:p w14:paraId="4E5DEC98">
      <w:pPr>
        <w:spacing w:line="269" w:lineRule="auto"/>
        <w:rPr>
          <w:rFonts w:ascii="Arial"/>
          <w:sz w:val="21"/>
        </w:rPr>
      </w:pPr>
    </w:p>
    <w:p w14:paraId="7D7F0C6D">
      <w:pPr>
        <w:pStyle w:val="2"/>
        <w:spacing w:before="69" w:line="220" w:lineRule="auto"/>
        <w:ind w:left="2991"/>
      </w:pPr>
      <w:r>
        <w:rPr>
          <w:spacing w:val="-4"/>
        </w:rPr>
        <w:t>表</w:t>
      </w:r>
      <w:r>
        <w:rPr>
          <w:spacing w:val="-42"/>
        </w:rPr>
        <w:t xml:space="preserve"> </w:t>
      </w:r>
      <w:r>
        <w:rPr>
          <w:rFonts w:ascii="Calibri" w:hAnsi="Calibri" w:eastAsia="Calibri" w:cs="Calibri"/>
          <w:spacing w:val="-4"/>
        </w:rPr>
        <w:t>2</w:t>
      </w:r>
      <w:r>
        <w:rPr>
          <w:rFonts w:ascii="Calibri" w:hAnsi="Calibri" w:eastAsia="Calibri" w:cs="Calibri"/>
          <w:spacing w:val="18"/>
          <w:w w:val="101"/>
        </w:rPr>
        <w:t xml:space="preserve">  </w:t>
      </w:r>
      <w:r>
        <w:rPr>
          <w:spacing w:val="-4"/>
        </w:rPr>
        <w:t>固定式通用灯具产品</w:t>
      </w:r>
    </w:p>
    <w:p w14:paraId="74C5E482">
      <w:pPr>
        <w:spacing w:line="19" w:lineRule="exact"/>
      </w:pPr>
    </w:p>
    <w:tbl>
      <w:tblPr>
        <w:tblStyle w:val="5"/>
        <w:tblW w:w="832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3151"/>
        <w:gridCol w:w="4464"/>
      </w:tblGrid>
      <w:tr w14:paraId="41BF9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712" w:type="dxa"/>
            <w:vAlign w:val="top"/>
          </w:tcPr>
          <w:p w14:paraId="45FEB48C">
            <w:pPr>
              <w:spacing w:before="157" w:line="221" w:lineRule="auto"/>
              <w:ind w:left="148"/>
              <w:rPr>
                <w:rFonts w:ascii="宋体" w:hAnsi="宋体" w:eastAsia="宋体" w:cs="宋体"/>
                <w:sz w:val="21"/>
                <w:szCs w:val="21"/>
              </w:rPr>
            </w:pPr>
            <w:r>
              <w:rPr>
                <w:rFonts w:ascii="宋体" w:hAnsi="宋体" w:eastAsia="宋体" w:cs="宋体"/>
                <w:b/>
                <w:bCs/>
                <w:spacing w:val="-6"/>
                <w:sz w:val="21"/>
                <w:szCs w:val="21"/>
              </w:rPr>
              <w:t>序号</w:t>
            </w:r>
          </w:p>
        </w:tc>
        <w:tc>
          <w:tcPr>
            <w:tcW w:w="3151" w:type="dxa"/>
            <w:vAlign w:val="top"/>
          </w:tcPr>
          <w:p w14:paraId="5FBBEBF1">
            <w:pPr>
              <w:spacing w:before="157" w:line="220" w:lineRule="auto"/>
              <w:ind w:left="1159"/>
              <w:rPr>
                <w:rFonts w:ascii="宋体" w:hAnsi="宋体" w:eastAsia="宋体" w:cs="宋体"/>
                <w:sz w:val="21"/>
                <w:szCs w:val="21"/>
              </w:rPr>
            </w:pPr>
            <w:r>
              <w:rPr>
                <w:rFonts w:ascii="宋体" w:hAnsi="宋体" w:eastAsia="宋体" w:cs="宋体"/>
                <w:b/>
                <w:bCs/>
                <w:spacing w:val="-4"/>
                <w:sz w:val="21"/>
                <w:szCs w:val="21"/>
              </w:rPr>
              <w:t>检验项目</w:t>
            </w:r>
          </w:p>
        </w:tc>
        <w:tc>
          <w:tcPr>
            <w:tcW w:w="4464" w:type="dxa"/>
            <w:vAlign w:val="top"/>
          </w:tcPr>
          <w:p w14:paraId="7D99A67D">
            <w:pPr>
              <w:spacing w:before="157" w:line="220" w:lineRule="auto"/>
              <w:ind w:left="1814"/>
              <w:rPr>
                <w:rFonts w:ascii="宋体" w:hAnsi="宋体" w:eastAsia="宋体" w:cs="宋体"/>
                <w:sz w:val="21"/>
                <w:szCs w:val="21"/>
              </w:rPr>
            </w:pPr>
            <w:r>
              <w:rPr>
                <w:rFonts w:ascii="宋体" w:hAnsi="宋体" w:eastAsia="宋体" w:cs="宋体"/>
                <w:b/>
                <w:bCs/>
                <w:spacing w:val="-4"/>
                <w:sz w:val="21"/>
                <w:szCs w:val="21"/>
              </w:rPr>
              <w:t>检测方法</w:t>
            </w:r>
          </w:p>
        </w:tc>
      </w:tr>
      <w:tr w14:paraId="1A3A0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12" w:type="dxa"/>
            <w:vAlign w:val="top"/>
          </w:tcPr>
          <w:p w14:paraId="19A5C3DA">
            <w:pPr>
              <w:spacing w:before="224" w:line="186" w:lineRule="auto"/>
              <w:ind w:left="32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3151" w:type="dxa"/>
            <w:vAlign w:val="top"/>
          </w:tcPr>
          <w:p w14:paraId="445A4BE9">
            <w:pPr>
              <w:spacing w:before="176" w:line="220" w:lineRule="auto"/>
              <w:ind w:left="117"/>
              <w:rPr>
                <w:rFonts w:ascii="宋体" w:hAnsi="宋体" w:eastAsia="宋体" w:cs="宋体"/>
                <w:sz w:val="21"/>
                <w:szCs w:val="21"/>
              </w:rPr>
            </w:pPr>
            <w:r>
              <w:rPr>
                <w:rFonts w:ascii="宋体" w:hAnsi="宋体" w:eastAsia="宋体" w:cs="宋体"/>
                <w:spacing w:val="-4"/>
                <w:sz w:val="21"/>
                <w:szCs w:val="21"/>
              </w:rPr>
              <w:t>结构</w:t>
            </w:r>
          </w:p>
        </w:tc>
        <w:tc>
          <w:tcPr>
            <w:tcW w:w="4464" w:type="dxa"/>
            <w:vAlign w:val="top"/>
          </w:tcPr>
          <w:p w14:paraId="3680F11C">
            <w:pPr>
              <w:pStyle w:val="6"/>
              <w:spacing w:before="92" w:line="219" w:lineRule="auto"/>
              <w:ind w:left="1384" w:right="1375" w:firstLine="105"/>
            </w:pPr>
            <w:r>
              <w:rPr>
                <w:spacing w:val="-1"/>
              </w:rPr>
              <w:t>GB 7000.1—2015</w:t>
            </w:r>
            <w:r>
              <w:rPr>
                <w:spacing w:val="1"/>
              </w:rPr>
              <w:t xml:space="preserve">   </w:t>
            </w:r>
            <w:r>
              <w:rPr>
                <w:spacing w:val="-1"/>
              </w:rPr>
              <w:t>GB 7000.201—2008</w:t>
            </w:r>
          </w:p>
        </w:tc>
      </w:tr>
      <w:tr w14:paraId="277BE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Align w:val="top"/>
          </w:tcPr>
          <w:p w14:paraId="0C798A20">
            <w:pPr>
              <w:spacing w:before="226" w:line="186" w:lineRule="auto"/>
              <w:ind w:left="31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3151" w:type="dxa"/>
            <w:vAlign w:val="top"/>
          </w:tcPr>
          <w:p w14:paraId="5B2BF6F8">
            <w:pPr>
              <w:spacing w:before="178" w:line="220" w:lineRule="auto"/>
              <w:ind w:left="111"/>
              <w:rPr>
                <w:rFonts w:ascii="宋体" w:hAnsi="宋体" w:eastAsia="宋体" w:cs="宋体"/>
                <w:sz w:val="21"/>
                <w:szCs w:val="21"/>
              </w:rPr>
            </w:pPr>
            <w:r>
              <w:rPr>
                <w:rFonts w:ascii="宋体" w:hAnsi="宋体" w:eastAsia="宋体" w:cs="宋体"/>
                <w:spacing w:val="-2"/>
                <w:sz w:val="21"/>
                <w:szCs w:val="21"/>
              </w:rPr>
              <w:t>接地规定</w:t>
            </w:r>
          </w:p>
        </w:tc>
        <w:tc>
          <w:tcPr>
            <w:tcW w:w="4464" w:type="dxa"/>
            <w:vAlign w:val="top"/>
          </w:tcPr>
          <w:p w14:paraId="2023359A">
            <w:pPr>
              <w:pStyle w:val="6"/>
              <w:spacing w:before="93" w:line="219" w:lineRule="auto"/>
              <w:ind w:left="1384" w:right="1375" w:firstLine="105"/>
            </w:pPr>
            <w:r>
              <w:rPr>
                <w:spacing w:val="-1"/>
              </w:rPr>
              <w:t>GB 7000.1—2015</w:t>
            </w:r>
            <w:r>
              <w:rPr>
                <w:spacing w:val="1"/>
              </w:rPr>
              <w:t xml:space="preserve">   </w:t>
            </w:r>
            <w:r>
              <w:rPr>
                <w:spacing w:val="-1"/>
              </w:rPr>
              <w:t>GB 7000.201—2008</w:t>
            </w:r>
          </w:p>
        </w:tc>
      </w:tr>
      <w:tr w14:paraId="0289A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Align w:val="top"/>
          </w:tcPr>
          <w:p w14:paraId="77DD7ABA">
            <w:pPr>
              <w:spacing w:before="226" w:line="186" w:lineRule="auto"/>
              <w:ind w:left="314"/>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3151" w:type="dxa"/>
            <w:vAlign w:val="top"/>
          </w:tcPr>
          <w:p w14:paraId="08B51874">
            <w:pPr>
              <w:spacing w:before="180" w:line="220" w:lineRule="auto"/>
              <w:ind w:left="125"/>
              <w:rPr>
                <w:rFonts w:ascii="宋体" w:hAnsi="宋体" w:eastAsia="宋体" w:cs="宋体"/>
                <w:sz w:val="21"/>
                <w:szCs w:val="21"/>
              </w:rPr>
            </w:pPr>
            <w:r>
              <w:rPr>
                <w:rFonts w:ascii="宋体" w:hAnsi="宋体" w:eastAsia="宋体" w:cs="宋体"/>
                <w:spacing w:val="-4"/>
                <w:sz w:val="21"/>
                <w:szCs w:val="21"/>
              </w:rPr>
              <w:t>防触电保护</w:t>
            </w:r>
          </w:p>
        </w:tc>
        <w:tc>
          <w:tcPr>
            <w:tcW w:w="4464" w:type="dxa"/>
            <w:vAlign w:val="top"/>
          </w:tcPr>
          <w:p w14:paraId="25E84167">
            <w:pPr>
              <w:pStyle w:val="6"/>
              <w:spacing w:before="93" w:line="219" w:lineRule="auto"/>
              <w:ind w:left="1384" w:right="1375" w:firstLine="105"/>
            </w:pPr>
            <w:r>
              <w:rPr>
                <w:spacing w:val="-1"/>
              </w:rPr>
              <w:t>GB 7000.1—2015</w:t>
            </w:r>
            <w:r>
              <w:rPr>
                <w:spacing w:val="1"/>
              </w:rPr>
              <w:t xml:space="preserve">   </w:t>
            </w:r>
            <w:r>
              <w:rPr>
                <w:spacing w:val="-1"/>
              </w:rPr>
              <w:t>GB 7000.201—2008</w:t>
            </w:r>
          </w:p>
        </w:tc>
      </w:tr>
      <w:tr w14:paraId="0FA81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2" w:type="dxa"/>
            <w:vAlign w:val="top"/>
          </w:tcPr>
          <w:p w14:paraId="175627EA">
            <w:pPr>
              <w:spacing w:before="227" w:line="186" w:lineRule="auto"/>
              <w:ind w:left="309"/>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3151" w:type="dxa"/>
            <w:vAlign w:val="top"/>
          </w:tcPr>
          <w:p w14:paraId="72F303FA">
            <w:pPr>
              <w:spacing w:before="179" w:line="220" w:lineRule="auto"/>
              <w:ind w:left="111"/>
              <w:rPr>
                <w:rFonts w:ascii="宋体" w:hAnsi="宋体" w:eastAsia="宋体" w:cs="宋体"/>
                <w:sz w:val="21"/>
                <w:szCs w:val="21"/>
              </w:rPr>
            </w:pPr>
            <w:r>
              <w:rPr>
                <w:rFonts w:ascii="宋体" w:hAnsi="宋体" w:eastAsia="宋体" w:cs="宋体"/>
                <w:spacing w:val="-2"/>
                <w:sz w:val="21"/>
                <w:szCs w:val="21"/>
              </w:rPr>
              <w:t>潮湿试验</w:t>
            </w:r>
          </w:p>
        </w:tc>
        <w:tc>
          <w:tcPr>
            <w:tcW w:w="4464" w:type="dxa"/>
            <w:vAlign w:val="top"/>
          </w:tcPr>
          <w:p w14:paraId="00D6AFEA">
            <w:pPr>
              <w:pStyle w:val="6"/>
              <w:spacing w:before="94" w:line="219" w:lineRule="auto"/>
              <w:ind w:left="1384" w:right="1375" w:firstLine="105"/>
            </w:pPr>
            <w:r>
              <w:rPr>
                <w:spacing w:val="-1"/>
              </w:rPr>
              <w:t>GB 7000.1—2015</w:t>
            </w:r>
            <w:r>
              <w:rPr>
                <w:spacing w:val="1"/>
              </w:rPr>
              <w:t xml:space="preserve">   </w:t>
            </w:r>
            <w:r>
              <w:rPr>
                <w:spacing w:val="-1"/>
              </w:rPr>
              <w:t>GB 7000.201—2008</w:t>
            </w:r>
          </w:p>
        </w:tc>
      </w:tr>
      <w:tr w14:paraId="628FC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2" w:type="dxa"/>
            <w:vAlign w:val="top"/>
          </w:tcPr>
          <w:p w14:paraId="20558099">
            <w:pPr>
              <w:spacing w:before="230" w:line="183" w:lineRule="auto"/>
              <w:ind w:left="315"/>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3151" w:type="dxa"/>
            <w:vAlign w:val="top"/>
          </w:tcPr>
          <w:p w14:paraId="08B84EF1">
            <w:pPr>
              <w:spacing w:before="180" w:line="220" w:lineRule="auto"/>
              <w:ind w:left="113"/>
              <w:rPr>
                <w:rFonts w:ascii="宋体" w:hAnsi="宋体" w:eastAsia="宋体" w:cs="宋体"/>
                <w:sz w:val="21"/>
                <w:szCs w:val="21"/>
              </w:rPr>
            </w:pPr>
            <w:r>
              <w:rPr>
                <w:rFonts w:ascii="宋体" w:hAnsi="宋体" w:eastAsia="宋体" w:cs="宋体"/>
                <w:spacing w:val="-1"/>
                <w:sz w:val="21"/>
                <w:szCs w:val="21"/>
              </w:rPr>
              <w:t>绝缘电阻和电气强度</w:t>
            </w:r>
          </w:p>
        </w:tc>
        <w:tc>
          <w:tcPr>
            <w:tcW w:w="4464" w:type="dxa"/>
            <w:vAlign w:val="top"/>
          </w:tcPr>
          <w:p w14:paraId="2334EE25">
            <w:pPr>
              <w:pStyle w:val="6"/>
              <w:spacing w:before="94" w:line="219" w:lineRule="auto"/>
              <w:ind w:left="1384" w:right="1375" w:firstLine="105"/>
            </w:pPr>
            <w:r>
              <w:rPr>
                <w:spacing w:val="-1"/>
              </w:rPr>
              <w:t>GB 7000.1—2015</w:t>
            </w:r>
            <w:r>
              <w:rPr>
                <w:spacing w:val="1"/>
              </w:rPr>
              <w:t xml:space="preserve">   </w:t>
            </w:r>
            <w:r>
              <w:rPr>
                <w:spacing w:val="-1"/>
              </w:rPr>
              <w:t>GB 7000.201—2008</w:t>
            </w:r>
          </w:p>
        </w:tc>
      </w:tr>
      <w:tr w14:paraId="51E5B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12" w:type="dxa"/>
            <w:vAlign w:val="top"/>
          </w:tcPr>
          <w:p w14:paraId="5D15D62D">
            <w:pPr>
              <w:spacing w:before="228" w:line="186" w:lineRule="auto"/>
              <w:ind w:left="314"/>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3151" w:type="dxa"/>
            <w:vAlign w:val="top"/>
          </w:tcPr>
          <w:p w14:paraId="278E7AB4">
            <w:pPr>
              <w:spacing w:before="180" w:line="220" w:lineRule="auto"/>
              <w:ind w:left="111"/>
              <w:rPr>
                <w:rFonts w:ascii="宋体" w:hAnsi="宋体" w:eastAsia="宋体" w:cs="宋体"/>
                <w:sz w:val="21"/>
                <w:szCs w:val="21"/>
              </w:rPr>
            </w:pPr>
            <w:r>
              <w:rPr>
                <w:rFonts w:ascii="宋体" w:hAnsi="宋体" w:eastAsia="宋体" w:cs="宋体"/>
                <w:spacing w:val="-1"/>
                <w:sz w:val="21"/>
                <w:szCs w:val="21"/>
              </w:rPr>
              <w:t>爬电距离和电气间隙</w:t>
            </w:r>
          </w:p>
        </w:tc>
        <w:tc>
          <w:tcPr>
            <w:tcW w:w="4464" w:type="dxa"/>
            <w:vAlign w:val="top"/>
          </w:tcPr>
          <w:p w14:paraId="694DDF33">
            <w:pPr>
              <w:pStyle w:val="6"/>
              <w:spacing w:before="96" w:line="220" w:lineRule="auto"/>
              <w:ind w:left="1384" w:right="1375" w:firstLine="105"/>
            </w:pPr>
            <w:r>
              <w:rPr>
                <w:spacing w:val="-1"/>
              </w:rPr>
              <w:t>GB 7000.1—2015</w:t>
            </w:r>
            <w:r>
              <w:rPr>
                <w:spacing w:val="1"/>
              </w:rPr>
              <w:t xml:space="preserve">   </w:t>
            </w:r>
            <w:r>
              <w:rPr>
                <w:spacing w:val="-1"/>
              </w:rPr>
              <w:t>GB 7000.201—2008</w:t>
            </w:r>
          </w:p>
        </w:tc>
      </w:tr>
    </w:tbl>
    <w:p w14:paraId="315C0325">
      <w:pPr>
        <w:pStyle w:val="2"/>
        <w:spacing w:before="170" w:line="373" w:lineRule="auto"/>
        <w:ind w:left="22" w:right="24" w:firstLine="1"/>
        <w:rPr>
          <w:rFonts w:ascii="黑体" w:hAnsi="黑体" w:eastAsia="黑体" w:cs="黑体"/>
        </w:rPr>
      </w:pPr>
      <w:r>
        <w:rPr>
          <w:rFonts w:ascii="黑体" w:hAnsi="黑体" w:eastAsia="黑体" w:cs="黑体"/>
          <w:spacing w:val="-1"/>
        </w:rPr>
        <w:t>注：“结构”项目仅测</w:t>
      </w:r>
      <w:r>
        <w:rPr>
          <w:rFonts w:ascii="黑体" w:hAnsi="黑体" w:eastAsia="黑体" w:cs="黑体"/>
          <w:spacing w:val="-46"/>
        </w:rPr>
        <w:t xml:space="preserve"> </w:t>
      </w:r>
      <w:r>
        <w:rPr>
          <w:rFonts w:ascii="黑体" w:hAnsi="黑体" w:eastAsia="黑体" w:cs="黑体"/>
          <w:spacing w:val="-1"/>
        </w:rPr>
        <w:t>4.2、4.3、4.9.1、4.10.1、4.10.2、4.10.3、4.11、4.13.1、4.25</w:t>
      </w:r>
      <w:r>
        <w:rPr>
          <w:rFonts w:ascii="黑体" w:hAnsi="黑体" w:eastAsia="黑体" w:cs="黑体"/>
        </w:rPr>
        <w:t xml:space="preserve"> </w:t>
      </w:r>
      <w:r>
        <w:rPr>
          <w:rFonts w:ascii="黑体" w:hAnsi="黑体" w:eastAsia="黑体" w:cs="黑体"/>
          <w:spacing w:val="-2"/>
        </w:rPr>
        <w:t>条及</w:t>
      </w:r>
      <w:r>
        <w:rPr>
          <w:rFonts w:ascii="黑体" w:hAnsi="黑体" w:eastAsia="黑体" w:cs="黑体"/>
          <w:spacing w:val="-45"/>
        </w:rPr>
        <w:t xml:space="preserve"> </w:t>
      </w:r>
      <w:r>
        <w:rPr>
          <w:rFonts w:ascii="黑体" w:hAnsi="黑体" w:eastAsia="黑体" w:cs="黑体"/>
          <w:spacing w:val="-2"/>
        </w:rPr>
        <w:t>GB 7000.201</w:t>
      </w:r>
      <w:r>
        <w:rPr>
          <w:spacing w:val="-2"/>
        </w:rPr>
        <w:t>—</w:t>
      </w:r>
      <w:r>
        <w:rPr>
          <w:rFonts w:ascii="黑体" w:hAnsi="黑体" w:eastAsia="黑体" w:cs="黑体"/>
          <w:spacing w:val="-2"/>
        </w:rPr>
        <w:t>2008</w:t>
      </w:r>
      <w:r>
        <w:rPr>
          <w:rFonts w:ascii="黑体" w:hAnsi="黑体" w:eastAsia="黑体" w:cs="黑体"/>
          <w:spacing w:val="-45"/>
        </w:rPr>
        <w:t xml:space="preserve"> </w:t>
      </w:r>
      <w:r>
        <w:rPr>
          <w:rFonts w:ascii="黑体" w:hAnsi="黑体" w:eastAsia="黑体" w:cs="黑体"/>
          <w:spacing w:val="-2"/>
        </w:rPr>
        <w:t>第</w:t>
      </w:r>
      <w:r>
        <w:rPr>
          <w:rFonts w:ascii="黑体" w:hAnsi="黑体" w:eastAsia="黑体" w:cs="黑体"/>
          <w:spacing w:val="-45"/>
        </w:rPr>
        <w:t xml:space="preserve"> </w:t>
      </w:r>
      <w:r>
        <w:rPr>
          <w:rFonts w:ascii="黑体" w:hAnsi="黑体" w:eastAsia="黑体" w:cs="黑体"/>
          <w:spacing w:val="-2"/>
        </w:rPr>
        <w:t>6</w:t>
      </w:r>
      <w:r>
        <w:rPr>
          <w:rFonts w:ascii="黑体" w:hAnsi="黑体" w:eastAsia="黑体" w:cs="黑体"/>
          <w:spacing w:val="-43"/>
        </w:rPr>
        <w:t xml:space="preserve"> </w:t>
      </w:r>
      <w:r>
        <w:rPr>
          <w:rFonts w:ascii="黑体" w:hAnsi="黑体" w:eastAsia="黑体" w:cs="黑体"/>
          <w:spacing w:val="-2"/>
        </w:rPr>
        <w:t>章的</w:t>
      </w:r>
      <w:r>
        <w:rPr>
          <w:rFonts w:ascii="黑体" w:hAnsi="黑体" w:eastAsia="黑体" w:cs="黑体"/>
          <w:spacing w:val="-3"/>
        </w:rPr>
        <w:t>其他特殊要求。</w:t>
      </w:r>
    </w:p>
    <w:p w14:paraId="766128D7">
      <w:pPr>
        <w:spacing w:line="373" w:lineRule="auto"/>
        <w:rPr>
          <w:rFonts w:ascii="黑体" w:hAnsi="黑体" w:eastAsia="黑体" w:cs="黑体"/>
        </w:rPr>
        <w:sectPr>
          <w:pgSz w:w="11905" w:h="16840"/>
          <w:pgMar w:top="1431" w:right="1776" w:bottom="0" w:left="1785" w:header="0" w:footer="0" w:gutter="0"/>
          <w:cols w:space="720" w:num="1"/>
        </w:sectPr>
      </w:pPr>
    </w:p>
    <w:p w14:paraId="5206773A">
      <w:pPr>
        <w:pStyle w:val="2"/>
        <w:spacing w:before="178" w:line="220" w:lineRule="auto"/>
        <w:ind w:left="2359"/>
      </w:pPr>
      <w:r>
        <w:rPr>
          <w:spacing w:val="-2"/>
        </w:rPr>
        <w:t>表</w:t>
      </w:r>
      <w:r>
        <w:rPr>
          <w:spacing w:val="-38"/>
        </w:rPr>
        <w:t xml:space="preserve"> </w:t>
      </w:r>
      <w:r>
        <w:rPr>
          <w:rFonts w:ascii="Calibri" w:hAnsi="Calibri" w:eastAsia="Calibri" w:cs="Calibri"/>
          <w:spacing w:val="-2"/>
        </w:rPr>
        <w:t xml:space="preserve">3  </w:t>
      </w:r>
      <w:r>
        <w:rPr>
          <w:spacing w:val="-2"/>
        </w:rPr>
        <w:t>嵌入式灯具、嵌入式</w:t>
      </w:r>
      <w:r>
        <w:rPr>
          <w:spacing w:val="-34"/>
        </w:rPr>
        <w:t xml:space="preserve"> </w:t>
      </w:r>
      <w:r>
        <w:rPr>
          <w:rFonts w:ascii="Calibri" w:hAnsi="Calibri" w:eastAsia="Calibri" w:cs="Calibri"/>
          <w:spacing w:val="-2"/>
        </w:rPr>
        <w:t>LED</w:t>
      </w:r>
      <w:r>
        <w:rPr>
          <w:rFonts w:ascii="Calibri" w:hAnsi="Calibri" w:eastAsia="Calibri" w:cs="Calibri"/>
          <w:spacing w:val="14"/>
          <w:w w:val="101"/>
        </w:rPr>
        <w:t xml:space="preserve"> </w:t>
      </w:r>
      <w:r>
        <w:rPr>
          <w:spacing w:val="-2"/>
        </w:rPr>
        <w:t>灯具产品</w:t>
      </w:r>
    </w:p>
    <w:p w14:paraId="39DA7B69">
      <w:pPr>
        <w:spacing w:line="20" w:lineRule="exact"/>
      </w:pPr>
    </w:p>
    <w:tbl>
      <w:tblPr>
        <w:tblStyle w:val="5"/>
        <w:tblW w:w="832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3151"/>
        <w:gridCol w:w="4464"/>
      </w:tblGrid>
      <w:tr w14:paraId="6F677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12" w:type="dxa"/>
            <w:vAlign w:val="top"/>
          </w:tcPr>
          <w:p w14:paraId="0DE80496">
            <w:pPr>
              <w:spacing w:before="157" w:line="221" w:lineRule="auto"/>
              <w:ind w:left="148"/>
              <w:rPr>
                <w:rFonts w:ascii="宋体" w:hAnsi="宋体" w:eastAsia="宋体" w:cs="宋体"/>
                <w:sz w:val="21"/>
                <w:szCs w:val="21"/>
              </w:rPr>
            </w:pPr>
            <w:r>
              <w:rPr>
                <w:rFonts w:ascii="宋体" w:hAnsi="宋体" w:eastAsia="宋体" w:cs="宋体"/>
                <w:b/>
                <w:bCs/>
                <w:spacing w:val="-6"/>
                <w:sz w:val="21"/>
                <w:szCs w:val="21"/>
              </w:rPr>
              <w:t>序号</w:t>
            </w:r>
          </w:p>
        </w:tc>
        <w:tc>
          <w:tcPr>
            <w:tcW w:w="3151" w:type="dxa"/>
            <w:vAlign w:val="top"/>
          </w:tcPr>
          <w:p w14:paraId="199B98D0">
            <w:pPr>
              <w:spacing w:before="157" w:line="220" w:lineRule="auto"/>
              <w:ind w:left="1159"/>
              <w:rPr>
                <w:rFonts w:ascii="宋体" w:hAnsi="宋体" w:eastAsia="宋体" w:cs="宋体"/>
                <w:sz w:val="21"/>
                <w:szCs w:val="21"/>
              </w:rPr>
            </w:pPr>
            <w:r>
              <w:rPr>
                <w:rFonts w:ascii="宋体" w:hAnsi="宋体" w:eastAsia="宋体" w:cs="宋体"/>
                <w:b/>
                <w:bCs/>
                <w:spacing w:val="-4"/>
                <w:sz w:val="21"/>
                <w:szCs w:val="21"/>
              </w:rPr>
              <w:t>检验项目</w:t>
            </w:r>
          </w:p>
        </w:tc>
        <w:tc>
          <w:tcPr>
            <w:tcW w:w="4464" w:type="dxa"/>
            <w:vAlign w:val="top"/>
          </w:tcPr>
          <w:p w14:paraId="125DE2D5">
            <w:pPr>
              <w:spacing w:before="157" w:line="220" w:lineRule="auto"/>
              <w:ind w:left="1814"/>
              <w:rPr>
                <w:rFonts w:ascii="宋体" w:hAnsi="宋体" w:eastAsia="宋体" w:cs="宋体"/>
                <w:sz w:val="21"/>
                <w:szCs w:val="21"/>
              </w:rPr>
            </w:pPr>
            <w:r>
              <w:rPr>
                <w:rFonts w:ascii="宋体" w:hAnsi="宋体" w:eastAsia="宋体" w:cs="宋体"/>
                <w:b/>
                <w:bCs/>
                <w:spacing w:val="-4"/>
                <w:sz w:val="21"/>
                <w:szCs w:val="21"/>
              </w:rPr>
              <w:t>检测方法</w:t>
            </w:r>
          </w:p>
        </w:tc>
      </w:tr>
      <w:tr w14:paraId="125C7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Align w:val="top"/>
          </w:tcPr>
          <w:p w14:paraId="33CE7518">
            <w:pPr>
              <w:spacing w:before="225" w:line="186" w:lineRule="auto"/>
              <w:ind w:left="32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3151" w:type="dxa"/>
            <w:vAlign w:val="top"/>
          </w:tcPr>
          <w:p w14:paraId="6DEC681D">
            <w:pPr>
              <w:spacing w:before="177" w:line="220" w:lineRule="auto"/>
              <w:ind w:left="117"/>
              <w:rPr>
                <w:rFonts w:ascii="宋体" w:hAnsi="宋体" w:eastAsia="宋体" w:cs="宋体"/>
                <w:sz w:val="21"/>
                <w:szCs w:val="21"/>
              </w:rPr>
            </w:pPr>
            <w:r>
              <w:rPr>
                <w:rFonts w:ascii="宋体" w:hAnsi="宋体" w:eastAsia="宋体" w:cs="宋体"/>
                <w:spacing w:val="-4"/>
                <w:sz w:val="21"/>
                <w:szCs w:val="21"/>
              </w:rPr>
              <w:t>结构</w:t>
            </w:r>
          </w:p>
        </w:tc>
        <w:tc>
          <w:tcPr>
            <w:tcW w:w="4464" w:type="dxa"/>
            <w:vAlign w:val="top"/>
          </w:tcPr>
          <w:p w14:paraId="256D97BE">
            <w:pPr>
              <w:pStyle w:val="6"/>
              <w:spacing w:before="93" w:line="219" w:lineRule="auto"/>
              <w:ind w:left="1384" w:right="1375" w:firstLine="105"/>
            </w:pPr>
            <w:r>
              <w:rPr>
                <w:spacing w:val="-1"/>
              </w:rPr>
              <w:t>GB 7000.1—2015</w:t>
            </w:r>
            <w:r>
              <w:rPr>
                <w:spacing w:val="1"/>
              </w:rPr>
              <w:t xml:space="preserve">   </w:t>
            </w:r>
            <w:r>
              <w:rPr>
                <w:spacing w:val="-1"/>
              </w:rPr>
              <w:t>GB 7000.202—2008</w:t>
            </w:r>
          </w:p>
        </w:tc>
      </w:tr>
      <w:tr w14:paraId="70A67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Align w:val="top"/>
          </w:tcPr>
          <w:p w14:paraId="4259C2F8">
            <w:pPr>
              <w:spacing w:before="225" w:line="186" w:lineRule="auto"/>
              <w:ind w:left="31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3151" w:type="dxa"/>
            <w:vAlign w:val="top"/>
          </w:tcPr>
          <w:p w14:paraId="487E77DB">
            <w:pPr>
              <w:spacing w:before="178" w:line="220" w:lineRule="auto"/>
              <w:ind w:left="111"/>
              <w:rPr>
                <w:rFonts w:ascii="宋体" w:hAnsi="宋体" w:eastAsia="宋体" w:cs="宋体"/>
                <w:sz w:val="21"/>
                <w:szCs w:val="21"/>
              </w:rPr>
            </w:pPr>
            <w:r>
              <w:rPr>
                <w:rFonts w:ascii="宋体" w:hAnsi="宋体" w:eastAsia="宋体" w:cs="宋体"/>
                <w:spacing w:val="-2"/>
                <w:sz w:val="21"/>
                <w:szCs w:val="21"/>
              </w:rPr>
              <w:t>接地规定</w:t>
            </w:r>
          </w:p>
        </w:tc>
        <w:tc>
          <w:tcPr>
            <w:tcW w:w="4464" w:type="dxa"/>
            <w:vAlign w:val="top"/>
          </w:tcPr>
          <w:p w14:paraId="0A31722D">
            <w:pPr>
              <w:pStyle w:val="6"/>
              <w:spacing w:before="93" w:line="219" w:lineRule="auto"/>
              <w:ind w:left="1384" w:right="1375" w:firstLine="105"/>
            </w:pPr>
            <w:r>
              <w:rPr>
                <w:spacing w:val="-1"/>
              </w:rPr>
              <w:t>GB 7000.1—2015</w:t>
            </w:r>
            <w:r>
              <w:rPr>
                <w:spacing w:val="1"/>
              </w:rPr>
              <w:t xml:space="preserve">   </w:t>
            </w:r>
            <w:r>
              <w:rPr>
                <w:spacing w:val="-1"/>
              </w:rPr>
              <w:t>GB 7000.202—2008</w:t>
            </w:r>
          </w:p>
        </w:tc>
      </w:tr>
      <w:tr w14:paraId="1DC26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Align w:val="top"/>
          </w:tcPr>
          <w:p w14:paraId="65B81297">
            <w:pPr>
              <w:spacing w:before="226" w:line="186" w:lineRule="auto"/>
              <w:ind w:left="314"/>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3151" w:type="dxa"/>
            <w:vAlign w:val="top"/>
          </w:tcPr>
          <w:p w14:paraId="2CEF4903">
            <w:pPr>
              <w:spacing w:before="178" w:line="220" w:lineRule="auto"/>
              <w:ind w:left="125"/>
              <w:rPr>
                <w:rFonts w:ascii="宋体" w:hAnsi="宋体" w:eastAsia="宋体" w:cs="宋体"/>
                <w:sz w:val="21"/>
                <w:szCs w:val="21"/>
              </w:rPr>
            </w:pPr>
            <w:r>
              <w:rPr>
                <w:rFonts w:ascii="宋体" w:hAnsi="宋体" w:eastAsia="宋体" w:cs="宋体"/>
                <w:spacing w:val="-4"/>
                <w:sz w:val="21"/>
                <w:szCs w:val="21"/>
              </w:rPr>
              <w:t>防触电保护</w:t>
            </w:r>
          </w:p>
        </w:tc>
        <w:tc>
          <w:tcPr>
            <w:tcW w:w="4464" w:type="dxa"/>
            <w:vAlign w:val="top"/>
          </w:tcPr>
          <w:p w14:paraId="6466A91E">
            <w:pPr>
              <w:pStyle w:val="6"/>
              <w:spacing w:before="93" w:line="219" w:lineRule="auto"/>
              <w:ind w:left="1384" w:right="1375" w:firstLine="105"/>
            </w:pPr>
            <w:r>
              <w:rPr>
                <w:spacing w:val="-1"/>
              </w:rPr>
              <w:t>GB 7000.1—2015</w:t>
            </w:r>
            <w:r>
              <w:rPr>
                <w:spacing w:val="1"/>
              </w:rPr>
              <w:t xml:space="preserve">   </w:t>
            </w:r>
            <w:r>
              <w:rPr>
                <w:spacing w:val="-1"/>
              </w:rPr>
              <w:t>GB 7000.202—2008</w:t>
            </w:r>
          </w:p>
        </w:tc>
      </w:tr>
      <w:tr w14:paraId="1612B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2" w:type="dxa"/>
            <w:vAlign w:val="top"/>
          </w:tcPr>
          <w:p w14:paraId="54F74CB7">
            <w:pPr>
              <w:spacing w:before="227" w:line="186" w:lineRule="auto"/>
              <w:ind w:left="309"/>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3151" w:type="dxa"/>
            <w:vAlign w:val="top"/>
          </w:tcPr>
          <w:p w14:paraId="27C67C3F">
            <w:pPr>
              <w:spacing w:before="179" w:line="220" w:lineRule="auto"/>
              <w:ind w:left="111"/>
              <w:rPr>
                <w:rFonts w:ascii="宋体" w:hAnsi="宋体" w:eastAsia="宋体" w:cs="宋体"/>
                <w:sz w:val="21"/>
                <w:szCs w:val="21"/>
              </w:rPr>
            </w:pPr>
            <w:r>
              <w:rPr>
                <w:rFonts w:ascii="宋体" w:hAnsi="宋体" w:eastAsia="宋体" w:cs="宋体"/>
                <w:spacing w:val="-2"/>
                <w:sz w:val="21"/>
                <w:szCs w:val="21"/>
              </w:rPr>
              <w:t>潮湿试验</w:t>
            </w:r>
          </w:p>
        </w:tc>
        <w:tc>
          <w:tcPr>
            <w:tcW w:w="4464" w:type="dxa"/>
            <w:vAlign w:val="top"/>
          </w:tcPr>
          <w:p w14:paraId="4AAE087C">
            <w:pPr>
              <w:pStyle w:val="6"/>
              <w:spacing w:before="94" w:line="219" w:lineRule="auto"/>
              <w:ind w:left="1384" w:right="1375" w:firstLine="105"/>
            </w:pPr>
            <w:r>
              <w:rPr>
                <w:spacing w:val="-1"/>
              </w:rPr>
              <w:t>GB 7000.1—2015</w:t>
            </w:r>
            <w:r>
              <w:rPr>
                <w:spacing w:val="1"/>
              </w:rPr>
              <w:t xml:space="preserve">   </w:t>
            </w:r>
            <w:r>
              <w:rPr>
                <w:spacing w:val="-1"/>
              </w:rPr>
              <w:t>GB 7000.202—2008</w:t>
            </w:r>
          </w:p>
        </w:tc>
      </w:tr>
      <w:tr w14:paraId="3869A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2" w:type="dxa"/>
            <w:vAlign w:val="top"/>
          </w:tcPr>
          <w:p w14:paraId="4A14F536">
            <w:pPr>
              <w:spacing w:before="230" w:line="183" w:lineRule="auto"/>
              <w:ind w:left="315"/>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3151" w:type="dxa"/>
            <w:vAlign w:val="top"/>
          </w:tcPr>
          <w:p w14:paraId="24716FA0">
            <w:pPr>
              <w:spacing w:before="180" w:line="220" w:lineRule="auto"/>
              <w:ind w:left="113"/>
              <w:rPr>
                <w:rFonts w:ascii="宋体" w:hAnsi="宋体" w:eastAsia="宋体" w:cs="宋体"/>
                <w:sz w:val="21"/>
                <w:szCs w:val="21"/>
              </w:rPr>
            </w:pPr>
            <w:r>
              <w:rPr>
                <w:rFonts w:ascii="宋体" w:hAnsi="宋体" w:eastAsia="宋体" w:cs="宋体"/>
                <w:spacing w:val="-1"/>
                <w:sz w:val="21"/>
                <w:szCs w:val="21"/>
              </w:rPr>
              <w:t>绝缘电阻和电气强度</w:t>
            </w:r>
          </w:p>
        </w:tc>
        <w:tc>
          <w:tcPr>
            <w:tcW w:w="4464" w:type="dxa"/>
            <w:vAlign w:val="top"/>
          </w:tcPr>
          <w:p w14:paraId="505390B6">
            <w:pPr>
              <w:pStyle w:val="6"/>
              <w:spacing w:before="94" w:line="219" w:lineRule="auto"/>
              <w:ind w:left="1384" w:right="1375" w:firstLine="105"/>
            </w:pPr>
            <w:r>
              <w:rPr>
                <w:spacing w:val="-1"/>
              </w:rPr>
              <w:t>GB 7000.1—2015</w:t>
            </w:r>
            <w:r>
              <w:rPr>
                <w:spacing w:val="1"/>
              </w:rPr>
              <w:t xml:space="preserve">   </w:t>
            </w:r>
            <w:r>
              <w:rPr>
                <w:spacing w:val="-1"/>
              </w:rPr>
              <w:t>GB 7000.202—2008</w:t>
            </w:r>
          </w:p>
        </w:tc>
      </w:tr>
      <w:tr w14:paraId="4995F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2" w:type="dxa"/>
            <w:vAlign w:val="top"/>
          </w:tcPr>
          <w:p w14:paraId="3EB1B048">
            <w:pPr>
              <w:spacing w:before="228" w:line="186" w:lineRule="auto"/>
              <w:ind w:left="314"/>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3151" w:type="dxa"/>
            <w:vAlign w:val="top"/>
          </w:tcPr>
          <w:p w14:paraId="713E1E10">
            <w:pPr>
              <w:spacing w:before="180" w:line="220" w:lineRule="auto"/>
              <w:ind w:left="111"/>
              <w:rPr>
                <w:rFonts w:ascii="宋体" w:hAnsi="宋体" w:eastAsia="宋体" w:cs="宋体"/>
                <w:sz w:val="21"/>
                <w:szCs w:val="21"/>
              </w:rPr>
            </w:pPr>
            <w:r>
              <w:rPr>
                <w:rFonts w:ascii="宋体" w:hAnsi="宋体" w:eastAsia="宋体" w:cs="宋体"/>
                <w:spacing w:val="-1"/>
                <w:sz w:val="21"/>
                <w:szCs w:val="21"/>
              </w:rPr>
              <w:t>爬电距离和电气间隙</w:t>
            </w:r>
          </w:p>
        </w:tc>
        <w:tc>
          <w:tcPr>
            <w:tcW w:w="4464" w:type="dxa"/>
            <w:vAlign w:val="top"/>
          </w:tcPr>
          <w:p w14:paraId="287EDA61">
            <w:pPr>
              <w:pStyle w:val="6"/>
              <w:spacing w:before="95" w:line="220" w:lineRule="auto"/>
              <w:ind w:left="1384" w:right="1375" w:firstLine="105"/>
            </w:pPr>
            <w:r>
              <w:rPr>
                <w:spacing w:val="-1"/>
              </w:rPr>
              <w:t>GB 7000.1—2015</w:t>
            </w:r>
            <w:r>
              <w:rPr>
                <w:spacing w:val="1"/>
              </w:rPr>
              <w:t xml:space="preserve">   </w:t>
            </w:r>
            <w:r>
              <w:rPr>
                <w:spacing w:val="-1"/>
              </w:rPr>
              <w:t>GB 7000.202—2008</w:t>
            </w:r>
          </w:p>
        </w:tc>
      </w:tr>
    </w:tbl>
    <w:p w14:paraId="7768A8B0">
      <w:pPr>
        <w:pStyle w:val="2"/>
        <w:spacing w:before="171" w:line="372" w:lineRule="auto"/>
        <w:ind w:left="22" w:right="24" w:firstLine="1"/>
        <w:rPr>
          <w:rFonts w:ascii="黑体" w:hAnsi="黑体" w:eastAsia="黑体" w:cs="黑体"/>
        </w:rPr>
      </w:pPr>
      <w:r>
        <w:rPr>
          <w:rFonts w:ascii="黑体" w:hAnsi="黑体" w:eastAsia="黑体" w:cs="黑体"/>
          <w:spacing w:val="-1"/>
        </w:rPr>
        <w:t>注：“结构”项目仅测</w:t>
      </w:r>
      <w:r>
        <w:rPr>
          <w:rFonts w:ascii="黑体" w:hAnsi="黑体" w:eastAsia="黑体" w:cs="黑体"/>
          <w:spacing w:val="-46"/>
        </w:rPr>
        <w:t xml:space="preserve"> </w:t>
      </w:r>
      <w:r>
        <w:rPr>
          <w:rFonts w:ascii="黑体" w:hAnsi="黑体" w:eastAsia="黑体" w:cs="黑体"/>
          <w:spacing w:val="-1"/>
        </w:rPr>
        <w:t>4.2、4.3、4.9.1、4.10.1、4.10.2、4.10.3、4.11、4.13.1、4.25</w:t>
      </w:r>
      <w:r>
        <w:rPr>
          <w:rFonts w:ascii="黑体" w:hAnsi="黑体" w:eastAsia="黑体" w:cs="黑体"/>
        </w:rPr>
        <w:t xml:space="preserve"> </w:t>
      </w:r>
      <w:r>
        <w:rPr>
          <w:rFonts w:ascii="黑体" w:hAnsi="黑体" w:eastAsia="黑体" w:cs="黑体"/>
          <w:spacing w:val="-2"/>
        </w:rPr>
        <w:t>条及</w:t>
      </w:r>
      <w:r>
        <w:rPr>
          <w:rFonts w:ascii="黑体" w:hAnsi="黑体" w:eastAsia="黑体" w:cs="黑体"/>
          <w:spacing w:val="-45"/>
        </w:rPr>
        <w:t xml:space="preserve"> </w:t>
      </w:r>
      <w:r>
        <w:rPr>
          <w:rFonts w:ascii="黑体" w:hAnsi="黑体" w:eastAsia="黑体" w:cs="黑体"/>
          <w:spacing w:val="-2"/>
        </w:rPr>
        <w:t>GB 7000.202</w:t>
      </w:r>
      <w:r>
        <w:rPr>
          <w:spacing w:val="-2"/>
        </w:rPr>
        <w:t>—</w:t>
      </w:r>
      <w:r>
        <w:rPr>
          <w:rFonts w:ascii="黑体" w:hAnsi="黑体" w:eastAsia="黑体" w:cs="黑体"/>
          <w:spacing w:val="-2"/>
        </w:rPr>
        <w:t>2008</w:t>
      </w:r>
      <w:r>
        <w:rPr>
          <w:rFonts w:ascii="黑体" w:hAnsi="黑体" w:eastAsia="黑体" w:cs="黑体"/>
          <w:spacing w:val="-45"/>
        </w:rPr>
        <w:t xml:space="preserve"> </w:t>
      </w:r>
      <w:r>
        <w:rPr>
          <w:rFonts w:ascii="黑体" w:hAnsi="黑体" w:eastAsia="黑体" w:cs="黑体"/>
          <w:spacing w:val="-2"/>
        </w:rPr>
        <w:t>第</w:t>
      </w:r>
      <w:r>
        <w:rPr>
          <w:rFonts w:ascii="黑体" w:hAnsi="黑体" w:eastAsia="黑体" w:cs="黑体"/>
          <w:spacing w:val="-45"/>
        </w:rPr>
        <w:t xml:space="preserve"> </w:t>
      </w:r>
      <w:r>
        <w:rPr>
          <w:rFonts w:ascii="黑体" w:hAnsi="黑体" w:eastAsia="黑体" w:cs="黑体"/>
          <w:spacing w:val="-2"/>
        </w:rPr>
        <w:t>6</w:t>
      </w:r>
      <w:r>
        <w:rPr>
          <w:rFonts w:ascii="黑体" w:hAnsi="黑体" w:eastAsia="黑体" w:cs="黑体"/>
          <w:spacing w:val="-43"/>
        </w:rPr>
        <w:t xml:space="preserve"> </w:t>
      </w:r>
      <w:r>
        <w:rPr>
          <w:rFonts w:ascii="黑体" w:hAnsi="黑体" w:eastAsia="黑体" w:cs="黑体"/>
          <w:spacing w:val="-2"/>
        </w:rPr>
        <w:t>章的</w:t>
      </w:r>
      <w:r>
        <w:rPr>
          <w:rFonts w:ascii="黑体" w:hAnsi="黑体" w:eastAsia="黑体" w:cs="黑体"/>
          <w:spacing w:val="-3"/>
        </w:rPr>
        <w:t>其他特殊要求。</w:t>
      </w:r>
    </w:p>
    <w:p w14:paraId="2E493A0A">
      <w:pPr>
        <w:spacing w:line="402" w:lineRule="auto"/>
        <w:rPr>
          <w:rFonts w:ascii="Arial"/>
          <w:sz w:val="21"/>
        </w:rPr>
      </w:pPr>
    </w:p>
    <w:p w14:paraId="1A5226B5">
      <w:pPr>
        <w:pStyle w:val="2"/>
        <w:spacing w:before="68" w:line="220" w:lineRule="auto"/>
        <w:ind w:left="2227"/>
      </w:pPr>
      <w:r>
        <w:rPr>
          <w:spacing w:val="-2"/>
        </w:rPr>
        <w:t>表</w:t>
      </w:r>
      <w:r>
        <w:rPr>
          <w:spacing w:val="-49"/>
        </w:rPr>
        <w:t xml:space="preserve"> </w:t>
      </w:r>
      <w:r>
        <w:rPr>
          <w:rFonts w:ascii="Calibri" w:hAnsi="Calibri" w:eastAsia="Calibri" w:cs="Calibri"/>
          <w:spacing w:val="-2"/>
        </w:rPr>
        <w:t>4</w:t>
      </w:r>
      <w:r>
        <w:rPr>
          <w:rFonts w:ascii="Calibri" w:hAnsi="Calibri" w:eastAsia="Calibri" w:cs="Calibri"/>
          <w:spacing w:val="9"/>
        </w:rPr>
        <w:t xml:space="preserve">    </w:t>
      </w:r>
      <w:r>
        <w:rPr>
          <w:rFonts w:ascii="Calibri" w:hAnsi="Calibri" w:eastAsia="Calibri" w:cs="Calibri"/>
          <w:spacing w:val="-2"/>
        </w:rPr>
        <w:t>LED</w:t>
      </w:r>
      <w:r>
        <w:rPr>
          <w:rFonts w:ascii="Calibri" w:hAnsi="Calibri" w:eastAsia="Calibri" w:cs="Calibri"/>
          <w:spacing w:val="15"/>
          <w:w w:val="101"/>
        </w:rPr>
        <w:t xml:space="preserve"> </w:t>
      </w:r>
      <w:r>
        <w:rPr>
          <w:spacing w:val="-2"/>
        </w:rPr>
        <w:t>读写台灯、可移式通用灯具产品</w:t>
      </w:r>
    </w:p>
    <w:p w14:paraId="11FD9D73">
      <w:pPr>
        <w:spacing w:line="19" w:lineRule="exact"/>
      </w:pPr>
    </w:p>
    <w:tbl>
      <w:tblPr>
        <w:tblStyle w:val="5"/>
        <w:tblW w:w="832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3151"/>
        <w:gridCol w:w="4464"/>
      </w:tblGrid>
      <w:tr w14:paraId="13B88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712" w:type="dxa"/>
            <w:vAlign w:val="top"/>
          </w:tcPr>
          <w:p w14:paraId="3B339FC7">
            <w:pPr>
              <w:spacing w:before="158" w:line="221" w:lineRule="auto"/>
              <w:ind w:left="148"/>
              <w:rPr>
                <w:rFonts w:ascii="宋体" w:hAnsi="宋体" w:eastAsia="宋体" w:cs="宋体"/>
                <w:sz w:val="21"/>
                <w:szCs w:val="21"/>
              </w:rPr>
            </w:pPr>
            <w:r>
              <w:rPr>
                <w:rFonts w:ascii="宋体" w:hAnsi="宋体" w:eastAsia="宋体" w:cs="宋体"/>
                <w:b/>
                <w:bCs/>
                <w:spacing w:val="-6"/>
                <w:sz w:val="21"/>
                <w:szCs w:val="21"/>
              </w:rPr>
              <w:t>序号</w:t>
            </w:r>
          </w:p>
        </w:tc>
        <w:tc>
          <w:tcPr>
            <w:tcW w:w="3151" w:type="dxa"/>
            <w:vAlign w:val="top"/>
          </w:tcPr>
          <w:p w14:paraId="6CE43155">
            <w:pPr>
              <w:spacing w:before="158" w:line="220" w:lineRule="auto"/>
              <w:ind w:left="1159"/>
              <w:rPr>
                <w:rFonts w:ascii="宋体" w:hAnsi="宋体" w:eastAsia="宋体" w:cs="宋体"/>
                <w:sz w:val="21"/>
                <w:szCs w:val="21"/>
              </w:rPr>
            </w:pPr>
            <w:r>
              <w:rPr>
                <w:rFonts w:ascii="宋体" w:hAnsi="宋体" w:eastAsia="宋体" w:cs="宋体"/>
                <w:b/>
                <w:bCs/>
                <w:spacing w:val="-4"/>
                <w:sz w:val="21"/>
                <w:szCs w:val="21"/>
              </w:rPr>
              <w:t>检验项目</w:t>
            </w:r>
          </w:p>
        </w:tc>
        <w:tc>
          <w:tcPr>
            <w:tcW w:w="4464" w:type="dxa"/>
            <w:vAlign w:val="top"/>
          </w:tcPr>
          <w:p w14:paraId="6677D3C3">
            <w:pPr>
              <w:spacing w:before="158" w:line="220" w:lineRule="auto"/>
              <w:ind w:left="1814"/>
              <w:rPr>
                <w:rFonts w:ascii="宋体" w:hAnsi="宋体" w:eastAsia="宋体" w:cs="宋体"/>
                <w:sz w:val="21"/>
                <w:szCs w:val="21"/>
              </w:rPr>
            </w:pPr>
            <w:r>
              <w:rPr>
                <w:rFonts w:ascii="宋体" w:hAnsi="宋体" w:eastAsia="宋体" w:cs="宋体"/>
                <w:b/>
                <w:bCs/>
                <w:spacing w:val="-4"/>
                <w:sz w:val="21"/>
                <w:szCs w:val="21"/>
              </w:rPr>
              <w:t>检测方法</w:t>
            </w:r>
          </w:p>
        </w:tc>
      </w:tr>
      <w:tr w14:paraId="1FDF1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Align w:val="top"/>
          </w:tcPr>
          <w:p w14:paraId="5DDD251F">
            <w:pPr>
              <w:spacing w:before="224" w:line="186" w:lineRule="auto"/>
              <w:ind w:left="32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3151" w:type="dxa"/>
            <w:vAlign w:val="top"/>
          </w:tcPr>
          <w:p w14:paraId="0FC92395">
            <w:pPr>
              <w:spacing w:before="176" w:line="220" w:lineRule="auto"/>
              <w:ind w:left="117"/>
              <w:rPr>
                <w:rFonts w:ascii="宋体" w:hAnsi="宋体" w:eastAsia="宋体" w:cs="宋体"/>
                <w:sz w:val="21"/>
                <w:szCs w:val="21"/>
              </w:rPr>
            </w:pPr>
            <w:r>
              <w:rPr>
                <w:rFonts w:ascii="宋体" w:hAnsi="宋体" w:eastAsia="宋体" w:cs="宋体"/>
                <w:spacing w:val="-4"/>
                <w:sz w:val="21"/>
                <w:szCs w:val="21"/>
              </w:rPr>
              <w:t>结构</w:t>
            </w:r>
          </w:p>
        </w:tc>
        <w:tc>
          <w:tcPr>
            <w:tcW w:w="4464" w:type="dxa"/>
            <w:vAlign w:val="top"/>
          </w:tcPr>
          <w:p w14:paraId="0F1C9189">
            <w:pPr>
              <w:pStyle w:val="6"/>
              <w:spacing w:before="91" w:line="220" w:lineRule="auto"/>
              <w:ind w:left="1384" w:right="1375" w:firstLine="105"/>
            </w:pPr>
            <w:r>
              <w:rPr>
                <w:spacing w:val="-1"/>
              </w:rPr>
              <w:t>GB 7000.1—2015</w:t>
            </w:r>
            <w:r>
              <w:rPr>
                <w:spacing w:val="1"/>
              </w:rPr>
              <w:t xml:space="preserve">   </w:t>
            </w:r>
            <w:r>
              <w:rPr>
                <w:spacing w:val="-1"/>
              </w:rPr>
              <w:t>GB 7000.204—2008</w:t>
            </w:r>
          </w:p>
        </w:tc>
      </w:tr>
      <w:tr w14:paraId="4E5C9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12" w:type="dxa"/>
            <w:vAlign w:val="top"/>
          </w:tcPr>
          <w:p w14:paraId="7381ACEE">
            <w:pPr>
              <w:spacing w:before="225" w:line="186" w:lineRule="auto"/>
              <w:ind w:left="31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3151" w:type="dxa"/>
            <w:vAlign w:val="top"/>
          </w:tcPr>
          <w:p w14:paraId="23D050D0">
            <w:pPr>
              <w:spacing w:before="177" w:line="220" w:lineRule="auto"/>
              <w:ind w:left="111"/>
              <w:rPr>
                <w:rFonts w:ascii="宋体" w:hAnsi="宋体" w:eastAsia="宋体" w:cs="宋体"/>
                <w:sz w:val="21"/>
                <w:szCs w:val="21"/>
              </w:rPr>
            </w:pPr>
            <w:r>
              <w:rPr>
                <w:rFonts w:ascii="宋体" w:hAnsi="宋体" w:eastAsia="宋体" w:cs="宋体"/>
                <w:spacing w:val="-2"/>
                <w:sz w:val="21"/>
                <w:szCs w:val="21"/>
              </w:rPr>
              <w:t>接地规定</w:t>
            </w:r>
          </w:p>
        </w:tc>
        <w:tc>
          <w:tcPr>
            <w:tcW w:w="4464" w:type="dxa"/>
            <w:vAlign w:val="top"/>
          </w:tcPr>
          <w:p w14:paraId="29D4686F">
            <w:pPr>
              <w:pStyle w:val="6"/>
              <w:spacing w:before="92" w:line="219" w:lineRule="auto"/>
              <w:ind w:left="1384" w:right="1375" w:firstLine="105"/>
            </w:pPr>
            <w:r>
              <w:rPr>
                <w:spacing w:val="-1"/>
              </w:rPr>
              <w:t>GB 7000.1—2015</w:t>
            </w:r>
            <w:r>
              <w:rPr>
                <w:spacing w:val="1"/>
              </w:rPr>
              <w:t xml:space="preserve">   </w:t>
            </w:r>
            <w:r>
              <w:rPr>
                <w:spacing w:val="-1"/>
              </w:rPr>
              <w:t>GB 7000.204—2008</w:t>
            </w:r>
          </w:p>
        </w:tc>
      </w:tr>
      <w:tr w14:paraId="2788A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Align w:val="top"/>
          </w:tcPr>
          <w:p w14:paraId="46F6EA43">
            <w:pPr>
              <w:spacing w:before="227" w:line="186" w:lineRule="auto"/>
              <w:ind w:left="314"/>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3151" w:type="dxa"/>
            <w:vAlign w:val="top"/>
          </w:tcPr>
          <w:p w14:paraId="403E3B60">
            <w:pPr>
              <w:spacing w:before="180" w:line="220" w:lineRule="auto"/>
              <w:ind w:left="125"/>
              <w:rPr>
                <w:rFonts w:ascii="宋体" w:hAnsi="宋体" w:eastAsia="宋体" w:cs="宋体"/>
                <w:sz w:val="21"/>
                <w:szCs w:val="21"/>
              </w:rPr>
            </w:pPr>
            <w:r>
              <w:rPr>
                <w:rFonts w:ascii="宋体" w:hAnsi="宋体" w:eastAsia="宋体" w:cs="宋体"/>
                <w:spacing w:val="-4"/>
                <w:sz w:val="21"/>
                <w:szCs w:val="21"/>
              </w:rPr>
              <w:t>防触电保护</w:t>
            </w:r>
          </w:p>
        </w:tc>
        <w:tc>
          <w:tcPr>
            <w:tcW w:w="4464" w:type="dxa"/>
            <w:vAlign w:val="top"/>
          </w:tcPr>
          <w:p w14:paraId="5D980F4E">
            <w:pPr>
              <w:pStyle w:val="6"/>
              <w:spacing w:before="95" w:line="218" w:lineRule="auto"/>
              <w:ind w:left="1384" w:right="1375" w:firstLine="105"/>
            </w:pPr>
            <w:r>
              <w:rPr>
                <w:spacing w:val="-1"/>
              </w:rPr>
              <w:t>GB 7000.1—2015</w:t>
            </w:r>
            <w:r>
              <w:rPr>
                <w:spacing w:val="1"/>
              </w:rPr>
              <w:t xml:space="preserve">   </w:t>
            </w:r>
            <w:r>
              <w:rPr>
                <w:spacing w:val="-1"/>
              </w:rPr>
              <w:t>GB 7000.204—2008</w:t>
            </w:r>
          </w:p>
        </w:tc>
      </w:tr>
      <w:tr w14:paraId="51B9A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2" w:type="dxa"/>
            <w:vAlign w:val="top"/>
          </w:tcPr>
          <w:p w14:paraId="78514DB7">
            <w:pPr>
              <w:spacing w:before="227" w:line="186" w:lineRule="auto"/>
              <w:ind w:left="309"/>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3151" w:type="dxa"/>
            <w:vAlign w:val="top"/>
          </w:tcPr>
          <w:p w14:paraId="66DCA687">
            <w:pPr>
              <w:spacing w:before="180" w:line="220" w:lineRule="auto"/>
              <w:ind w:left="111"/>
              <w:rPr>
                <w:rFonts w:ascii="宋体" w:hAnsi="宋体" w:eastAsia="宋体" w:cs="宋体"/>
                <w:sz w:val="21"/>
                <w:szCs w:val="21"/>
              </w:rPr>
            </w:pPr>
            <w:r>
              <w:rPr>
                <w:rFonts w:ascii="宋体" w:hAnsi="宋体" w:eastAsia="宋体" w:cs="宋体"/>
                <w:spacing w:val="-2"/>
                <w:sz w:val="21"/>
                <w:szCs w:val="21"/>
              </w:rPr>
              <w:t>潮湿试验</w:t>
            </w:r>
          </w:p>
        </w:tc>
        <w:tc>
          <w:tcPr>
            <w:tcW w:w="4464" w:type="dxa"/>
            <w:vAlign w:val="top"/>
          </w:tcPr>
          <w:p w14:paraId="6F381739">
            <w:pPr>
              <w:pStyle w:val="6"/>
              <w:spacing w:before="94" w:line="219" w:lineRule="auto"/>
              <w:ind w:left="1384" w:right="1375" w:firstLine="105"/>
            </w:pPr>
            <w:r>
              <w:rPr>
                <w:spacing w:val="-1"/>
              </w:rPr>
              <w:t>GB 7000.1—2015</w:t>
            </w:r>
            <w:r>
              <w:rPr>
                <w:spacing w:val="1"/>
              </w:rPr>
              <w:t xml:space="preserve">   </w:t>
            </w:r>
            <w:r>
              <w:rPr>
                <w:spacing w:val="-1"/>
              </w:rPr>
              <w:t>GB 7000.204—2008</w:t>
            </w:r>
          </w:p>
        </w:tc>
      </w:tr>
      <w:tr w14:paraId="01E6C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2" w:type="dxa"/>
            <w:vAlign w:val="top"/>
          </w:tcPr>
          <w:p w14:paraId="44819678">
            <w:pPr>
              <w:spacing w:before="230" w:line="183" w:lineRule="auto"/>
              <w:ind w:left="315"/>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3151" w:type="dxa"/>
            <w:vAlign w:val="top"/>
          </w:tcPr>
          <w:p w14:paraId="11918D38">
            <w:pPr>
              <w:spacing w:before="180" w:line="220" w:lineRule="auto"/>
              <w:ind w:left="113"/>
              <w:rPr>
                <w:rFonts w:ascii="宋体" w:hAnsi="宋体" w:eastAsia="宋体" w:cs="宋体"/>
                <w:sz w:val="21"/>
                <w:szCs w:val="21"/>
              </w:rPr>
            </w:pPr>
            <w:r>
              <w:rPr>
                <w:rFonts w:ascii="宋体" w:hAnsi="宋体" w:eastAsia="宋体" w:cs="宋体"/>
                <w:spacing w:val="-1"/>
                <w:sz w:val="21"/>
                <w:szCs w:val="21"/>
              </w:rPr>
              <w:t>绝缘电阻和电气强度</w:t>
            </w:r>
          </w:p>
        </w:tc>
        <w:tc>
          <w:tcPr>
            <w:tcW w:w="4464" w:type="dxa"/>
            <w:vAlign w:val="top"/>
          </w:tcPr>
          <w:p w14:paraId="18C7C0C7">
            <w:pPr>
              <w:pStyle w:val="6"/>
              <w:spacing w:before="94" w:line="219" w:lineRule="auto"/>
              <w:ind w:left="1384" w:right="1375" w:firstLine="105"/>
            </w:pPr>
            <w:r>
              <w:rPr>
                <w:spacing w:val="-1"/>
              </w:rPr>
              <w:t>GB 7000.1—2015</w:t>
            </w:r>
            <w:r>
              <w:rPr>
                <w:spacing w:val="1"/>
              </w:rPr>
              <w:t xml:space="preserve">   </w:t>
            </w:r>
            <w:r>
              <w:rPr>
                <w:spacing w:val="-1"/>
              </w:rPr>
              <w:t>GB 7000.204—2008</w:t>
            </w:r>
          </w:p>
        </w:tc>
      </w:tr>
      <w:tr w14:paraId="4DADA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12" w:type="dxa"/>
            <w:vAlign w:val="top"/>
          </w:tcPr>
          <w:p w14:paraId="6844F188">
            <w:pPr>
              <w:spacing w:before="228" w:line="186" w:lineRule="auto"/>
              <w:ind w:left="314"/>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3151" w:type="dxa"/>
            <w:vAlign w:val="top"/>
          </w:tcPr>
          <w:p w14:paraId="2977137B">
            <w:pPr>
              <w:spacing w:before="180" w:line="220" w:lineRule="auto"/>
              <w:ind w:left="111"/>
              <w:rPr>
                <w:rFonts w:ascii="宋体" w:hAnsi="宋体" w:eastAsia="宋体" w:cs="宋体"/>
                <w:sz w:val="21"/>
                <w:szCs w:val="21"/>
              </w:rPr>
            </w:pPr>
            <w:r>
              <w:rPr>
                <w:rFonts w:ascii="宋体" w:hAnsi="宋体" w:eastAsia="宋体" w:cs="宋体"/>
                <w:spacing w:val="-1"/>
                <w:sz w:val="21"/>
                <w:szCs w:val="21"/>
              </w:rPr>
              <w:t>爬电距离和电气间隙</w:t>
            </w:r>
          </w:p>
        </w:tc>
        <w:tc>
          <w:tcPr>
            <w:tcW w:w="4464" w:type="dxa"/>
            <w:vAlign w:val="top"/>
          </w:tcPr>
          <w:p w14:paraId="0704138B">
            <w:pPr>
              <w:pStyle w:val="6"/>
              <w:spacing w:before="96" w:line="220" w:lineRule="auto"/>
              <w:ind w:left="1384" w:right="1375" w:firstLine="105"/>
            </w:pPr>
            <w:r>
              <w:rPr>
                <w:spacing w:val="-1"/>
              </w:rPr>
              <w:t>GB 7000.1—2015</w:t>
            </w:r>
            <w:r>
              <w:rPr>
                <w:spacing w:val="1"/>
              </w:rPr>
              <w:t xml:space="preserve">   </w:t>
            </w:r>
            <w:r>
              <w:rPr>
                <w:spacing w:val="-1"/>
              </w:rPr>
              <w:t>GB 7000.204—2008</w:t>
            </w:r>
          </w:p>
        </w:tc>
      </w:tr>
    </w:tbl>
    <w:p w14:paraId="12B44A91">
      <w:pPr>
        <w:pStyle w:val="2"/>
        <w:spacing w:before="170" w:line="373" w:lineRule="auto"/>
        <w:ind w:left="22" w:right="24" w:firstLine="1"/>
        <w:rPr>
          <w:rFonts w:ascii="黑体" w:hAnsi="黑体" w:eastAsia="黑体" w:cs="黑体"/>
        </w:rPr>
      </w:pPr>
      <w:r>
        <w:rPr>
          <w:rFonts w:ascii="黑体" w:hAnsi="黑体" w:eastAsia="黑体" w:cs="黑体"/>
          <w:spacing w:val="-1"/>
        </w:rPr>
        <w:t>注：“结构”项目仅测</w:t>
      </w:r>
      <w:r>
        <w:rPr>
          <w:rFonts w:ascii="黑体" w:hAnsi="黑体" w:eastAsia="黑体" w:cs="黑体"/>
          <w:spacing w:val="-46"/>
        </w:rPr>
        <w:t xml:space="preserve"> </w:t>
      </w:r>
      <w:r>
        <w:rPr>
          <w:rFonts w:ascii="黑体" w:hAnsi="黑体" w:eastAsia="黑体" w:cs="黑体"/>
          <w:spacing w:val="-1"/>
        </w:rPr>
        <w:t>4.2、4.3、4.9.1、4.10.1、4.10.2、4.10.3、4.11、4.13.1、4.25</w:t>
      </w:r>
      <w:r>
        <w:rPr>
          <w:rFonts w:ascii="黑体" w:hAnsi="黑体" w:eastAsia="黑体" w:cs="黑体"/>
        </w:rPr>
        <w:t xml:space="preserve"> </w:t>
      </w:r>
      <w:r>
        <w:rPr>
          <w:rFonts w:ascii="黑体" w:hAnsi="黑体" w:eastAsia="黑体" w:cs="黑体"/>
          <w:spacing w:val="-2"/>
        </w:rPr>
        <w:t>条及</w:t>
      </w:r>
      <w:r>
        <w:rPr>
          <w:rFonts w:ascii="黑体" w:hAnsi="黑体" w:eastAsia="黑体" w:cs="黑体"/>
          <w:spacing w:val="-45"/>
        </w:rPr>
        <w:t xml:space="preserve"> </w:t>
      </w:r>
      <w:r>
        <w:rPr>
          <w:rFonts w:ascii="黑体" w:hAnsi="黑体" w:eastAsia="黑体" w:cs="黑体"/>
          <w:spacing w:val="-2"/>
        </w:rPr>
        <w:t>GB 7000.204</w:t>
      </w:r>
      <w:r>
        <w:rPr>
          <w:spacing w:val="-2"/>
        </w:rPr>
        <w:t>—</w:t>
      </w:r>
      <w:r>
        <w:rPr>
          <w:rFonts w:ascii="黑体" w:hAnsi="黑体" w:eastAsia="黑体" w:cs="黑体"/>
          <w:spacing w:val="-2"/>
        </w:rPr>
        <w:t>2008</w:t>
      </w:r>
      <w:r>
        <w:rPr>
          <w:rFonts w:ascii="黑体" w:hAnsi="黑体" w:eastAsia="黑体" w:cs="黑体"/>
          <w:spacing w:val="-45"/>
        </w:rPr>
        <w:t xml:space="preserve"> </w:t>
      </w:r>
      <w:r>
        <w:rPr>
          <w:rFonts w:ascii="黑体" w:hAnsi="黑体" w:eastAsia="黑体" w:cs="黑体"/>
          <w:spacing w:val="-2"/>
        </w:rPr>
        <w:t>第</w:t>
      </w:r>
      <w:r>
        <w:rPr>
          <w:rFonts w:ascii="黑体" w:hAnsi="黑体" w:eastAsia="黑体" w:cs="黑体"/>
          <w:spacing w:val="-45"/>
        </w:rPr>
        <w:t xml:space="preserve"> </w:t>
      </w:r>
      <w:r>
        <w:rPr>
          <w:rFonts w:ascii="黑体" w:hAnsi="黑体" w:eastAsia="黑体" w:cs="黑体"/>
          <w:spacing w:val="-2"/>
        </w:rPr>
        <w:t>6</w:t>
      </w:r>
      <w:r>
        <w:rPr>
          <w:rFonts w:ascii="黑体" w:hAnsi="黑体" w:eastAsia="黑体" w:cs="黑体"/>
          <w:spacing w:val="-43"/>
        </w:rPr>
        <w:t xml:space="preserve"> </w:t>
      </w:r>
      <w:r>
        <w:rPr>
          <w:rFonts w:ascii="黑体" w:hAnsi="黑体" w:eastAsia="黑体" w:cs="黑体"/>
          <w:spacing w:val="-2"/>
        </w:rPr>
        <w:t>章的</w:t>
      </w:r>
      <w:r>
        <w:rPr>
          <w:rFonts w:ascii="黑体" w:hAnsi="黑体" w:eastAsia="黑体" w:cs="黑体"/>
          <w:spacing w:val="-3"/>
        </w:rPr>
        <w:t>其他特殊要求。</w:t>
      </w:r>
    </w:p>
    <w:p w14:paraId="6C590BE6">
      <w:pPr>
        <w:spacing w:line="400" w:lineRule="auto"/>
        <w:rPr>
          <w:rFonts w:ascii="Arial"/>
          <w:sz w:val="21"/>
        </w:rPr>
      </w:pPr>
    </w:p>
    <w:p w14:paraId="28053150">
      <w:pPr>
        <w:pStyle w:val="2"/>
        <w:spacing w:before="68" w:line="220" w:lineRule="auto"/>
        <w:ind w:left="3463"/>
      </w:pPr>
      <w:r>
        <w:rPr>
          <w:spacing w:val="-5"/>
        </w:rPr>
        <w:t>表</w:t>
      </w:r>
      <w:r>
        <w:rPr>
          <w:spacing w:val="-39"/>
        </w:rPr>
        <w:t xml:space="preserve"> </w:t>
      </w:r>
      <w:r>
        <w:rPr>
          <w:rFonts w:ascii="Calibri" w:hAnsi="Calibri" w:eastAsia="Calibri" w:cs="Calibri"/>
          <w:spacing w:val="-5"/>
        </w:rPr>
        <w:t>5</w:t>
      </w:r>
      <w:r>
        <w:rPr>
          <w:rFonts w:ascii="Calibri" w:hAnsi="Calibri" w:eastAsia="Calibri" w:cs="Calibri"/>
          <w:spacing w:val="7"/>
        </w:rPr>
        <w:t xml:space="preserve">    </w:t>
      </w:r>
      <w:r>
        <w:rPr>
          <w:spacing w:val="-5"/>
        </w:rPr>
        <w:t>灯串产品</w:t>
      </w:r>
    </w:p>
    <w:p w14:paraId="050A962A">
      <w:pPr>
        <w:spacing w:line="21" w:lineRule="exact"/>
      </w:pPr>
    </w:p>
    <w:tbl>
      <w:tblPr>
        <w:tblStyle w:val="5"/>
        <w:tblW w:w="832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3151"/>
        <w:gridCol w:w="4464"/>
      </w:tblGrid>
      <w:tr w14:paraId="44F0F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12" w:type="dxa"/>
            <w:vAlign w:val="top"/>
          </w:tcPr>
          <w:p w14:paraId="29FB403E">
            <w:pPr>
              <w:spacing w:before="157" w:line="221" w:lineRule="auto"/>
              <w:ind w:left="148"/>
              <w:rPr>
                <w:rFonts w:ascii="宋体" w:hAnsi="宋体" w:eastAsia="宋体" w:cs="宋体"/>
                <w:sz w:val="21"/>
                <w:szCs w:val="21"/>
              </w:rPr>
            </w:pPr>
            <w:r>
              <w:rPr>
                <w:rFonts w:ascii="宋体" w:hAnsi="宋体" w:eastAsia="宋体" w:cs="宋体"/>
                <w:b/>
                <w:bCs/>
                <w:spacing w:val="-6"/>
                <w:sz w:val="21"/>
                <w:szCs w:val="21"/>
              </w:rPr>
              <w:t>序号</w:t>
            </w:r>
          </w:p>
        </w:tc>
        <w:tc>
          <w:tcPr>
            <w:tcW w:w="3151" w:type="dxa"/>
            <w:vAlign w:val="top"/>
          </w:tcPr>
          <w:p w14:paraId="5F8C385A">
            <w:pPr>
              <w:spacing w:before="157" w:line="220" w:lineRule="auto"/>
              <w:ind w:left="1159"/>
              <w:rPr>
                <w:rFonts w:ascii="宋体" w:hAnsi="宋体" w:eastAsia="宋体" w:cs="宋体"/>
                <w:sz w:val="21"/>
                <w:szCs w:val="21"/>
              </w:rPr>
            </w:pPr>
            <w:r>
              <w:rPr>
                <w:rFonts w:ascii="宋体" w:hAnsi="宋体" w:eastAsia="宋体" w:cs="宋体"/>
                <w:b/>
                <w:bCs/>
                <w:spacing w:val="-4"/>
                <w:sz w:val="21"/>
                <w:szCs w:val="21"/>
              </w:rPr>
              <w:t>检验项目</w:t>
            </w:r>
          </w:p>
        </w:tc>
        <w:tc>
          <w:tcPr>
            <w:tcW w:w="4464" w:type="dxa"/>
            <w:vAlign w:val="top"/>
          </w:tcPr>
          <w:p w14:paraId="4551C71E">
            <w:pPr>
              <w:spacing w:before="157" w:line="220" w:lineRule="auto"/>
              <w:ind w:left="1814"/>
              <w:rPr>
                <w:rFonts w:ascii="宋体" w:hAnsi="宋体" w:eastAsia="宋体" w:cs="宋体"/>
                <w:sz w:val="21"/>
                <w:szCs w:val="21"/>
              </w:rPr>
            </w:pPr>
            <w:r>
              <w:rPr>
                <w:rFonts w:ascii="宋体" w:hAnsi="宋体" w:eastAsia="宋体" w:cs="宋体"/>
                <w:b/>
                <w:bCs/>
                <w:spacing w:val="-4"/>
                <w:sz w:val="21"/>
                <w:szCs w:val="21"/>
              </w:rPr>
              <w:t>检测方法</w:t>
            </w:r>
          </w:p>
        </w:tc>
      </w:tr>
      <w:tr w14:paraId="33C66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12" w:type="dxa"/>
            <w:vAlign w:val="top"/>
          </w:tcPr>
          <w:p w14:paraId="3700EEC7">
            <w:pPr>
              <w:spacing w:before="225" w:line="186" w:lineRule="auto"/>
              <w:ind w:left="32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3151" w:type="dxa"/>
            <w:vAlign w:val="top"/>
          </w:tcPr>
          <w:p w14:paraId="3C68E77E">
            <w:pPr>
              <w:spacing w:before="177" w:line="220" w:lineRule="auto"/>
              <w:ind w:left="117"/>
              <w:rPr>
                <w:rFonts w:ascii="宋体" w:hAnsi="宋体" w:eastAsia="宋体" w:cs="宋体"/>
                <w:sz w:val="21"/>
                <w:szCs w:val="21"/>
              </w:rPr>
            </w:pPr>
            <w:r>
              <w:rPr>
                <w:rFonts w:ascii="宋体" w:hAnsi="宋体" w:eastAsia="宋体" w:cs="宋体"/>
                <w:spacing w:val="-4"/>
                <w:sz w:val="21"/>
                <w:szCs w:val="21"/>
              </w:rPr>
              <w:t>结构</w:t>
            </w:r>
          </w:p>
        </w:tc>
        <w:tc>
          <w:tcPr>
            <w:tcW w:w="4464" w:type="dxa"/>
            <w:vAlign w:val="top"/>
          </w:tcPr>
          <w:p w14:paraId="48F1C18B">
            <w:pPr>
              <w:pStyle w:val="6"/>
              <w:spacing w:before="92" w:line="219" w:lineRule="auto"/>
              <w:ind w:left="1489" w:right="1481"/>
            </w:pPr>
            <w:r>
              <w:rPr>
                <w:spacing w:val="-1"/>
              </w:rPr>
              <w:t>GB 7000.1—2015</w:t>
            </w:r>
            <w:r>
              <w:rPr>
                <w:spacing w:val="5"/>
              </w:rPr>
              <w:t xml:space="preserve"> </w:t>
            </w:r>
            <w:r>
              <w:rPr>
                <w:spacing w:val="-1"/>
              </w:rPr>
              <w:t>GB 7000.9—2008</w:t>
            </w:r>
          </w:p>
        </w:tc>
      </w:tr>
      <w:tr w14:paraId="2D0BC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12" w:type="dxa"/>
            <w:vAlign w:val="top"/>
          </w:tcPr>
          <w:p w14:paraId="1498BB09">
            <w:pPr>
              <w:spacing w:before="227" w:line="186" w:lineRule="auto"/>
              <w:ind w:left="31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3151" w:type="dxa"/>
            <w:vAlign w:val="top"/>
          </w:tcPr>
          <w:p w14:paraId="314A8A18">
            <w:pPr>
              <w:spacing w:before="179" w:line="220" w:lineRule="auto"/>
              <w:ind w:left="111"/>
              <w:rPr>
                <w:rFonts w:ascii="宋体" w:hAnsi="宋体" w:eastAsia="宋体" w:cs="宋体"/>
                <w:sz w:val="21"/>
                <w:szCs w:val="21"/>
              </w:rPr>
            </w:pPr>
            <w:r>
              <w:rPr>
                <w:rFonts w:ascii="宋体" w:hAnsi="宋体" w:eastAsia="宋体" w:cs="宋体"/>
                <w:spacing w:val="-2"/>
                <w:sz w:val="21"/>
                <w:szCs w:val="21"/>
              </w:rPr>
              <w:t>接地规定</w:t>
            </w:r>
          </w:p>
        </w:tc>
        <w:tc>
          <w:tcPr>
            <w:tcW w:w="4464" w:type="dxa"/>
            <w:vAlign w:val="top"/>
          </w:tcPr>
          <w:p w14:paraId="2C3D5FBC">
            <w:pPr>
              <w:pStyle w:val="6"/>
              <w:spacing w:before="94" w:line="220" w:lineRule="auto"/>
              <w:ind w:left="1489" w:right="1481"/>
            </w:pPr>
            <w:r>
              <w:rPr>
                <w:spacing w:val="-1"/>
              </w:rPr>
              <w:t>GB 7000.1—2015</w:t>
            </w:r>
            <w:r>
              <w:rPr>
                <w:spacing w:val="5"/>
              </w:rPr>
              <w:t xml:space="preserve"> </w:t>
            </w:r>
            <w:r>
              <w:rPr>
                <w:spacing w:val="-1"/>
              </w:rPr>
              <w:t>GB 7000.9—2008</w:t>
            </w:r>
          </w:p>
        </w:tc>
      </w:tr>
    </w:tbl>
    <w:p w14:paraId="12D6D499">
      <w:pPr>
        <w:rPr>
          <w:rFonts w:ascii="Arial"/>
          <w:sz w:val="21"/>
        </w:rPr>
      </w:pPr>
    </w:p>
    <w:p w14:paraId="4CDA80F3">
      <w:pPr>
        <w:rPr>
          <w:rFonts w:ascii="Arial" w:hAnsi="Arial" w:eastAsia="Arial" w:cs="Arial"/>
          <w:sz w:val="21"/>
          <w:szCs w:val="21"/>
        </w:rPr>
        <w:sectPr>
          <w:pgSz w:w="11905" w:h="16840"/>
          <w:pgMar w:top="1431" w:right="1776" w:bottom="0" w:left="1785" w:header="0" w:footer="0" w:gutter="0"/>
          <w:cols w:space="720" w:num="1"/>
        </w:sectPr>
      </w:pPr>
    </w:p>
    <w:p w14:paraId="35F2259A">
      <w:pPr>
        <w:spacing w:line="89" w:lineRule="auto"/>
        <w:rPr>
          <w:rFonts w:ascii="Arial"/>
          <w:sz w:val="2"/>
        </w:rPr>
      </w:pPr>
    </w:p>
    <w:tbl>
      <w:tblPr>
        <w:tblStyle w:val="5"/>
        <w:tblW w:w="832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3151"/>
        <w:gridCol w:w="4464"/>
      </w:tblGrid>
      <w:tr w14:paraId="12E64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12" w:type="dxa"/>
            <w:vAlign w:val="top"/>
          </w:tcPr>
          <w:p w14:paraId="7E1E21AF">
            <w:pPr>
              <w:spacing w:before="158" w:line="221" w:lineRule="auto"/>
              <w:ind w:left="148"/>
              <w:rPr>
                <w:rFonts w:ascii="宋体" w:hAnsi="宋体" w:eastAsia="宋体" w:cs="宋体"/>
                <w:sz w:val="21"/>
                <w:szCs w:val="21"/>
              </w:rPr>
            </w:pPr>
            <w:r>
              <w:rPr>
                <w:rFonts w:ascii="宋体" w:hAnsi="宋体" w:eastAsia="宋体" w:cs="宋体"/>
                <w:b/>
                <w:bCs/>
                <w:spacing w:val="-6"/>
                <w:sz w:val="21"/>
                <w:szCs w:val="21"/>
              </w:rPr>
              <w:t>序号</w:t>
            </w:r>
          </w:p>
        </w:tc>
        <w:tc>
          <w:tcPr>
            <w:tcW w:w="3151" w:type="dxa"/>
            <w:vAlign w:val="top"/>
          </w:tcPr>
          <w:p w14:paraId="230A4AAA">
            <w:pPr>
              <w:spacing w:before="158" w:line="220" w:lineRule="auto"/>
              <w:ind w:left="1159"/>
              <w:rPr>
                <w:rFonts w:ascii="宋体" w:hAnsi="宋体" w:eastAsia="宋体" w:cs="宋体"/>
                <w:sz w:val="21"/>
                <w:szCs w:val="21"/>
              </w:rPr>
            </w:pPr>
            <w:r>
              <w:rPr>
                <w:rFonts w:ascii="宋体" w:hAnsi="宋体" w:eastAsia="宋体" w:cs="宋体"/>
                <w:b/>
                <w:bCs/>
                <w:spacing w:val="-4"/>
                <w:sz w:val="21"/>
                <w:szCs w:val="21"/>
              </w:rPr>
              <w:t>检验项目</w:t>
            </w:r>
          </w:p>
        </w:tc>
        <w:tc>
          <w:tcPr>
            <w:tcW w:w="4464" w:type="dxa"/>
            <w:vAlign w:val="top"/>
          </w:tcPr>
          <w:p w14:paraId="131BD967">
            <w:pPr>
              <w:spacing w:before="158" w:line="220" w:lineRule="auto"/>
              <w:ind w:left="1814"/>
              <w:rPr>
                <w:rFonts w:ascii="宋体" w:hAnsi="宋体" w:eastAsia="宋体" w:cs="宋体"/>
                <w:sz w:val="21"/>
                <w:szCs w:val="21"/>
              </w:rPr>
            </w:pPr>
            <w:r>
              <w:rPr>
                <w:rFonts w:ascii="宋体" w:hAnsi="宋体" w:eastAsia="宋体" w:cs="宋体"/>
                <w:b/>
                <w:bCs/>
                <w:spacing w:val="-4"/>
                <w:sz w:val="21"/>
                <w:szCs w:val="21"/>
              </w:rPr>
              <w:t>检测方法</w:t>
            </w:r>
          </w:p>
        </w:tc>
      </w:tr>
      <w:tr w14:paraId="0EB5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Align w:val="top"/>
          </w:tcPr>
          <w:p w14:paraId="2162C1F5">
            <w:pPr>
              <w:spacing w:before="225" w:line="186" w:lineRule="auto"/>
              <w:ind w:left="314"/>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3151" w:type="dxa"/>
            <w:vAlign w:val="top"/>
          </w:tcPr>
          <w:p w14:paraId="1F6405D5">
            <w:pPr>
              <w:spacing w:before="177" w:line="220" w:lineRule="auto"/>
              <w:ind w:left="125"/>
              <w:rPr>
                <w:rFonts w:ascii="宋体" w:hAnsi="宋体" w:eastAsia="宋体" w:cs="宋体"/>
                <w:sz w:val="21"/>
                <w:szCs w:val="21"/>
              </w:rPr>
            </w:pPr>
            <w:r>
              <w:rPr>
                <w:rFonts w:ascii="宋体" w:hAnsi="宋体" w:eastAsia="宋体" w:cs="宋体"/>
                <w:spacing w:val="-4"/>
                <w:sz w:val="21"/>
                <w:szCs w:val="21"/>
              </w:rPr>
              <w:t>防触电保护</w:t>
            </w:r>
          </w:p>
        </w:tc>
        <w:tc>
          <w:tcPr>
            <w:tcW w:w="4464" w:type="dxa"/>
            <w:vAlign w:val="top"/>
          </w:tcPr>
          <w:p w14:paraId="5FBB5920">
            <w:pPr>
              <w:pStyle w:val="6"/>
              <w:spacing w:before="93" w:line="219" w:lineRule="auto"/>
              <w:ind w:left="1489" w:right="1481"/>
            </w:pPr>
            <w:r>
              <w:rPr>
                <w:spacing w:val="-1"/>
              </w:rPr>
              <w:t>GB 7000.1—2015</w:t>
            </w:r>
            <w:r>
              <w:rPr>
                <w:spacing w:val="5"/>
              </w:rPr>
              <w:t xml:space="preserve"> </w:t>
            </w:r>
            <w:r>
              <w:rPr>
                <w:spacing w:val="-1"/>
              </w:rPr>
              <w:t>GB 7000.9—2008</w:t>
            </w:r>
          </w:p>
        </w:tc>
      </w:tr>
      <w:tr w14:paraId="68C26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12" w:type="dxa"/>
            <w:vAlign w:val="top"/>
          </w:tcPr>
          <w:p w14:paraId="619F719D">
            <w:pPr>
              <w:spacing w:before="226" w:line="186" w:lineRule="auto"/>
              <w:ind w:left="309"/>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3151" w:type="dxa"/>
            <w:vAlign w:val="top"/>
          </w:tcPr>
          <w:p w14:paraId="0D0EC5CD">
            <w:pPr>
              <w:spacing w:before="178" w:line="220" w:lineRule="auto"/>
              <w:ind w:left="111"/>
              <w:rPr>
                <w:rFonts w:ascii="宋体" w:hAnsi="宋体" w:eastAsia="宋体" w:cs="宋体"/>
                <w:sz w:val="21"/>
                <w:szCs w:val="21"/>
              </w:rPr>
            </w:pPr>
            <w:r>
              <w:rPr>
                <w:rFonts w:ascii="宋体" w:hAnsi="宋体" w:eastAsia="宋体" w:cs="宋体"/>
                <w:spacing w:val="-2"/>
                <w:sz w:val="21"/>
                <w:szCs w:val="21"/>
              </w:rPr>
              <w:t>潮湿试验</w:t>
            </w:r>
          </w:p>
        </w:tc>
        <w:tc>
          <w:tcPr>
            <w:tcW w:w="4464" w:type="dxa"/>
            <w:vAlign w:val="top"/>
          </w:tcPr>
          <w:p w14:paraId="1C10E645">
            <w:pPr>
              <w:pStyle w:val="6"/>
              <w:spacing w:before="94" w:line="218" w:lineRule="auto"/>
              <w:ind w:left="1489" w:right="1481"/>
            </w:pPr>
            <w:r>
              <w:rPr>
                <w:spacing w:val="-1"/>
              </w:rPr>
              <w:t>GB 7000.1—2015</w:t>
            </w:r>
            <w:r>
              <w:rPr>
                <w:spacing w:val="5"/>
              </w:rPr>
              <w:t xml:space="preserve"> </w:t>
            </w:r>
            <w:r>
              <w:rPr>
                <w:spacing w:val="-1"/>
              </w:rPr>
              <w:t>GB 7000.9—2008</w:t>
            </w:r>
          </w:p>
        </w:tc>
      </w:tr>
      <w:tr w14:paraId="70E9F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Align w:val="top"/>
          </w:tcPr>
          <w:p w14:paraId="212D3752">
            <w:pPr>
              <w:spacing w:before="231" w:line="183" w:lineRule="auto"/>
              <w:ind w:left="315"/>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3151" w:type="dxa"/>
            <w:vAlign w:val="top"/>
          </w:tcPr>
          <w:p w14:paraId="4FB999D4">
            <w:pPr>
              <w:spacing w:before="181" w:line="220" w:lineRule="auto"/>
              <w:ind w:left="113"/>
              <w:rPr>
                <w:rFonts w:ascii="宋体" w:hAnsi="宋体" w:eastAsia="宋体" w:cs="宋体"/>
                <w:sz w:val="21"/>
                <w:szCs w:val="21"/>
              </w:rPr>
            </w:pPr>
            <w:r>
              <w:rPr>
                <w:rFonts w:ascii="宋体" w:hAnsi="宋体" w:eastAsia="宋体" w:cs="宋体"/>
                <w:spacing w:val="-1"/>
                <w:sz w:val="21"/>
                <w:szCs w:val="21"/>
              </w:rPr>
              <w:t>绝缘电阻和电气强度</w:t>
            </w:r>
          </w:p>
        </w:tc>
        <w:tc>
          <w:tcPr>
            <w:tcW w:w="4464" w:type="dxa"/>
            <w:vAlign w:val="top"/>
          </w:tcPr>
          <w:p w14:paraId="609BCB08">
            <w:pPr>
              <w:pStyle w:val="6"/>
              <w:spacing w:before="95" w:line="218" w:lineRule="auto"/>
              <w:ind w:left="1489" w:right="1481"/>
            </w:pPr>
            <w:r>
              <w:rPr>
                <w:spacing w:val="-1"/>
              </w:rPr>
              <w:t>GB 7000.1—2015</w:t>
            </w:r>
            <w:r>
              <w:rPr>
                <w:spacing w:val="5"/>
              </w:rPr>
              <w:t xml:space="preserve"> </w:t>
            </w:r>
            <w:r>
              <w:rPr>
                <w:spacing w:val="-1"/>
              </w:rPr>
              <w:t>GB 7000.9—2008</w:t>
            </w:r>
          </w:p>
        </w:tc>
      </w:tr>
      <w:tr w14:paraId="3C681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12" w:type="dxa"/>
            <w:vAlign w:val="top"/>
          </w:tcPr>
          <w:p w14:paraId="68AC31B5">
            <w:pPr>
              <w:spacing w:before="228" w:line="186" w:lineRule="auto"/>
              <w:ind w:left="314"/>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3151" w:type="dxa"/>
            <w:vAlign w:val="top"/>
          </w:tcPr>
          <w:p w14:paraId="72128931">
            <w:pPr>
              <w:spacing w:before="182" w:line="220" w:lineRule="auto"/>
              <w:ind w:left="111"/>
              <w:rPr>
                <w:rFonts w:ascii="宋体" w:hAnsi="宋体" w:eastAsia="宋体" w:cs="宋体"/>
                <w:sz w:val="21"/>
                <w:szCs w:val="21"/>
              </w:rPr>
            </w:pPr>
            <w:r>
              <w:rPr>
                <w:rFonts w:ascii="宋体" w:hAnsi="宋体" w:eastAsia="宋体" w:cs="宋体"/>
                <w:spacing w:val="-1"/>
                <w:sz w:val="21"/>
                <w:szCs w:val="21"/>
              </w:rPr>
              <w:t>爬电距离和电气间隙</w:t>
            </w:r>
          </w:p>
        </w:tc>
        <w:tc>
          <w:tcPr>
            <w:tcW w:w="4464" w:type="dxa"/>
            <w:vAlign w:val="top"/>
          </w:tcPr>
          <w:p w14:paraId="031A5323">
            <w:pPr>
              <w:pStyle w:val="6"/>
              <w:spacing w:before="96" w:line="220" w:lineRule="auto"/>
              <w:ind w:left="1489" w:right="1481"/>
            </w:pPr>
            <w:r>
              <w:rPr>
                <w:spacing w:val="-1"/>
              </w:rPr>
              <w:t>GB 7000.1—2015</w:t>
            </w:r>
            <w:r>
              <w:rPr>
                <w:spacing w:val="5"/>
              </w:rPr>
              <w:t xml:space="preserve"> </w:t>
            </w:r>
            <w:r>
              <w:rPr>
                <w:spacing w:val="-1"/>
              </w:rPr>
              <w:t>GB 7000.9—2008</w:t>
            </w:r>
          </w:p>
        </w:tc>
      </w:tr>
    </w:tbl>
    <w:p w14:paraId="5F8DB8EE">
      <w:pPr>
        <w:pStyle w:val="2"/>
        <w:spacing w:before="170" w:line="373" w:lineRule="auto"/>
        <w:ind w:left="22" w:right="24" w:firstLine="1"/>
        <w:rPr>
          <w:rFonts w:ascii="黑体" w:hAnsi="黑体" w:eastAsia="黑体" w:cs="黑体"/>
        </w:rPr>
      </w:pPr>
      <w:r>
        <w:rPr>
          <w:rFonts w:ascii="黑体" w:hAnsi="黑体" w:eastAsia="黑体" w:cs="黑体"/>
          <w:spacing w:val="-1"/>
        </w:rPr>
        <w:t>注：“结构”项目仅测</w:t>
      </w:r>
      <w:r>
        <w:rPr>
          <w:rFonts w:ascii="黑体" w:hAnsi="黑体" w:eastAsia="黑体" w:cs="黑体"/>
          <w:spacing w:val="-46"/>
        </w:rPr>
        <w:t xml:space="preserve"> </w:t>
      </w:r>
      <w:r>
        <w:rPr>
          <w:rFonts w:ascii="黑体" w:hAnsi="黑体" w:eastAsia="黑体" w:cs="黑体"/>
          <w:spacing w:val="-1"/>
        </w:rPr>
        <w:t>4.2、4.3、4.9.1、4.10.1、4.10.2、4.10.3、4.11、4.13.1、4.25</w:t>
      </w:r>
      <w:r>
        <w:rPr>
          <w:rFonts w:ascii="黑体" w:hAnsi="黑体" w:eastAsia="黑体" w:cs="黑体"/>
        </w:rPr>
        <w:t xml:space="preserve"> </w:t>
      </w:r>
      <w:r>
        <w:rPr>
          <w:rFonts w:ascii="黑体" w:hAnsi="黑体" w:eastAsia="黑体" w:cs="黑体"/>
          <w:spacing w:val="-3"/>
        </w:rPr>
        <w:t>条及</w:t>
      </w:r>
      <w:r>
        <w:rPr>
          <w:rFonts w:ascii="黑体" w:hAnsi="黑体" w:eastAsia="黑体" w:cs="黑体"/>
          <w:spacing w:val="-29"/>
        </w:rPr>
        <w:t xml:space="preserve"> </w:t>
      </w:r>
      <w:r>
        <w:rPr>
          <w:rFonts w:ascii="黑体" w:hAnsi="黑体" w:eastAsia="黑体" w:cs="黑体"/>
          <w:spacing w:val="-3"/>
        </w:rPr>
        <w:t>GB 7000.9</w:t>
      </w:r>
      <w:r>
        <w:rPr>
          <w:spacing w:val="-3"/>
        </w:rPr>
        <w:t>—</w:t>
      </w:r>
      <w:r>
        <w:rPr>
          <w:rFonts w:ascii="黑体" w:hAnsi="黑体" w:eastAsia="黑体" w:cs="黑体"/>
          <w:spacing w:val="-3"/>
        </w:rPr>
        <w:t>2008</w:t>
      </w:r>
      <w:r>
        <w:rPr>
          <w:rFonts w:ascii="黑体" w:hAnsi="黑体" w:eastAsia="黑体" w:cs="黑体"/>
          <w:spacing w:val="-45"/>
        </w:rPr>
        <w:t xml:space="preserve"> </w:t>
      </w:r>
      <w:r>
        <w:rPr>
          <w:rFonts w:ascii="黑体" w:hAnsi="黑体" w:eastAsia="黑体" w:cs="黑体"/>
          <w:spacing w:val="-3"/>
        </w:rPr>
        <w:t>第</w:t>
      </w:r>
      <w:r>
        <w:rPr>
          <w:rFonts w:ascii="黑体" w:hAnsi="黑体" w:eastAsia="黑体" w:cs="黑体"/>
          <w:spacing w:val="-45"/>
        </w:rPr>
        <w:t xml:space="preserve"> </w:t>
      </w:r>
      <w:r>
        <w:rPr>
          <w:rFonts w:ascii="黑体" w:hAnsi="黑体" w:eastAsia="黑体" w:cs="黑体"/>
          <w:spacing w:val="-3"/>
        </w:rPr>
        <w:t>6</w:t>
      </w:r>
      <w:r>
        <w:rPr>
          <w:rFonts w:ascii="黑体" w:hAnsi="黑体" w:eastAsia="黑体" w:cs="黑体"/>
          <w:spacing w:val="-43"/>
        </w:rPr>
        <w:t xml:space="preserve"> </w:t>
      </w:r>
      <w:r>
        <w:rPr>
          <w:rFonts w:ascii="黑体" w:hAnsi="黑体" w:eastAsia="黑体" w:cs="黑体"/>
          <w:spacing w:val="-3"/>
        </w:rPr>
        <w:t>章的其他特殊要求。</w:t>
      </w:r>
    </w:p>
    <w:p w14:paraId="5B149DFA">
      <w:pPr>
        <w:spacing w:line="400" w:lineRule="auto"/>
        <w:rPr>
          <w:rFonts w:ascii="Arial"/>
          <w:sz w:val="21"/>
        </w:rPr>
      </w:pPr>
    </w:p>
    <w:p w14:paraId="78D9071E">
      <w:pPr>
        <w:pStyle w:val="2"/>
        <w:spacing w:before="68" w:line="220" w:lineRule="auto"/>
        <w:ind w:left="441"/>
      </w:pPr>
      <w:r>
        <w:rPr>
          <w:spacing w:val="-1"/>
        </w:rPr>
        <w:t>执行企业标准、团体标准、地方标准的产品，检验项目参照上</w:t>
      </w:r>
      <w:r>
        <w:rPr>
          <w:spacing w:val="-2"/>
        </w:rPr>
        <w:t>述内容执行。</w:t>
      </w:r>
    </w:p>
    <w:p w14:paraId="6D0BE33A">
      <w:pPr>
        <w:pStyle w:val="2"/>
        <w:spacing w:before="191" w:line="373" w:lineRule="auto"/>
        <w:ind w:left="25" w:right="22" w:firstLine="420"/>
      </w:pPr>
      <w:r>
        <w:rPr>
          <w:spacing w:val="-3"/>
        </w:rPr>
        <w:t>凡是注日期的文件，其随后所有的修改单（不包括勘误的内容）或修订版不适用于本细</w:t>
      </w:r>
      <w:r>
        <w:rPr>
          <w:spacing w:val="6"/>
        </w:rPr>
        <w:t xml:space="preserve"> </w:t>
      </w:r>
      <w:r>
        <w:rPr>
          <w:spacing w:val="-2"/>
        </w:rPr>
        <w:t>则。凡是不注日期的文件，其最新版本适用于本细则。</w:t>
      </w:r>
    </w:p>
    <w:p w14:paraId="78CD74D5">
      <w:pPr>
        <w:spacing w:line="384" w:lineRule="auto"/>
        <w:rPr>
          <w:rFonts w:ascii="Arial"/>
          <w:sz w:val="21"/>
        </w:rPr>
      </w:pPr>
    </w:p>
    <w:p w14:paraId="5AC7275A">
      <w:pPr>
        <w:spacing w:before="69" w:line="222" w:lineRule="auto"/>
        <w:ind w:left="23"/>
        <w:rPr>
          <w:rFonts w:ascii="黑体" w:hAnsi="黑体" w:eastAsia="黑体" w:cs="黑体"/>
          <w:sz w:val="21"/>
          <w:szCs w:val="21"/>
        </w:rPr>
      </w:pPr>
      <w:r>
        <w:rPr>
          <w:rFonts w:ascii="Calibri" w:hAnsi="Calibri" w:eastAsia="Calibri" w:cs="Calibri"/>
          <w:spacing w:val="-4"/>
          <w:sz w:val="21"/>
          <w:szCs w:val="21"/>
        </w:rPr>
        <w:t>3</w:t>
      </w:r>
      <w:r>
        <w:rPr>
          <w:rFonts w:ascii="Calibri" w:hAnsi="Calibri" w:eastAsia="Calibri" w:cs="Calibri"/>
          <w:spacing w:val="10"/>
          <w:sz w:val="21"/>
          <w:szCs w:val="21"/>
        </w:rPr>
        <w:t xml:space="preserve">  </w:t>
      </w:r>
      <w:r>
        <w:rPr>
          <w:rFonts w:ascii="黑体" w:hAnsi="黑体" w:eastAsia="黑体" w:cs="黑体"/>
          <w:spacing w:val="-4"/>
          <w:sz w:val="21"/>
          <w:szCs w:val="21"/>
        </w:rPr>
        <w:t>判定规则</w:t>
      </w:r>
    </w:p>
    <w:p w14:paraId="7BB18157">
      <w:pPr>
        <w:pStyle w:val="2"/>
        <w:spacing w:before="257" w:line="219" w:lineRule="auto"/>
        <w:ind w:left="23"/>
      </w:pPr>
      <w:r>
        <w:rPr>
          <w:rFonts w:ascii="Calibri" w:hAnsi="Calibri" w:eastAsia="Calibri" w:cs="Calibri"/>
          <w:spacing w:val="-3"/>
        </w:rPr>
        <w:t>3.1</w:t>
      </w:r>
      <w:r>
        <w:rPr>
          <w:rFonts w:ascii="Calibri" w:hAnsi="Calibri" w:eastAsia="Calibri" w:cs="Calibri"/>
          <w:spacing w:val="16"/>
          <w:w w:val="101"/>
        </w:rPr>
        <w:t xml:space="preserve"> </w:t>
      </w:r>
      <w:r>
        <w:rPr>
          <w:spacing w:val="-3"/>
        </w:rPr>
        <w:t>依据标准</w:t>
      </w:r>
    </w:p>
    <w:p w14:paraId="6F8B404E">
      <w:pPr>
        <w:pStyle w:val="2"/>
        <w:spacing w:before="191" w:line="374" w:lineRule="auto"/>
        <w:ind w:left="377" w:right="3034"/>
      </w:pPr>
      <w:r>
        <w:rPr>
          <w:spacing w:val="-1"/>
        </w:rPr>
        <w:t>GB 7000.1—2015 灯具  第</w:t>
      </w:r>
      <w:r>
        <w:rPr>
          <w:spacing w:val="-29"/>
        </w:rPr>
        <w:t xml:space="preserve"> </w:t>
      </w:r>
      <w:r>
        <w:rPr>
          <w:spacing w:val="-2"/>
        </w:rPr>
        <w:t>1</w:t>
      </w:r>
      <w:r>
        <w:rPr>
          <w:spacing w:val="-41"/>
        </w:rPr>
        <w:t xml:space="preserve"> </w:t>
      </w:r>
      <w:r>
        <w:rPr>
          <w:spacing w:val="-2"/>
        </w:rPr>
        <w:t>部分：一般要求与试验</w:t>
      </w:r>
      <w:r>
        <w:t xml:space="preserve">  </w:t>
      </w:r>
      <w:r>
        <w:rPr>
          <w:spacing w:val="-1"/>
        </w:rPr>
        <w:t>GB 7000.9-2008  灯具 第</w:t>
      </w:r>
      <w:r>
        <w:rPr>
          <w:spacing w:val="-43"/>
        </w:rPr>
        <w:t xml:space="preserve"> </w:t>
      </w:r>
      <w:r>
        <w:rPr>
          <w:spacing w:val="-1"/>
        </w:rPr>
        <w:t>2-20</w:t>
      </w:r>
      <w:r>
        <w:rPr>
          <w:spacing w:val="-43"/>
        </w:rPr>
        <w:t xml:space="preserve"> </w:t>
      </w:r>
      <w:r>
        <w:rPr>
          <w:spacing w:val="-1"/>
        </w:rPr>
        <w:t>部分：特殊要求</w:t>
      </w:r>
      <w:r>
        <w:rPr>
          <w:spacing w:val="9"/>
        </w:rPr>
        <w:t xml:space="preserve"> </w:t>
      </w:r>
      <w:r>
        <w:rPr>
          <w:spacing w:val="-2"/>
        </w:rPr>
        <w:t>灯串</w:t>
      </w:r>
    </w:p>
    <w:p w14:paraId="791ACD58">
      <w:pPr>
        <w:pStyle w:val="2"/>
        <w:spacing w:before="28" w:line="374" w:lineRule="auto"/>
        <w:ind w:left="377" w:right="1670"/>
      </w:pPr>
      <w:r>
        <w:rPr>
          <w:spacing w:val="-1"/>
        </w:rPr>
        <w:t>GB 7000.201—2008 灯具  第</w:t>
      </w:r>
      <w:r>
        <w:rPr>
          <w:spacing w:val="-43"/>
        </w:rPr>
        <w:t xml:space="preserve"> </w:t>
      </w:r>
      <w:r>
        <w:rPr>
          <w:spacing w:val="-1"/>
        </w:rPr>
        <w:t>2—</w:t>
      </w:r>
      <w:r>
        <w:rPr>
          <w:spacing w:val="-2"/>
        </w:rPr>
        <w:t>1</w:t>
      </w:r>
      <w:r>
        <w:rPr>
          <w:spacing w:val="-41"/>
        </w:rPr>
        <w:t xml:space="preserve"> </w:t>
      </w:r>
      <w:r>
        <w:rPr>
          <w:spacing w:val="-2"/>
        </w:rPr>
        <w:t>部分：特殊要求</w:t>
      </w:r>
      <w:r>
        <w:rPr>
          <w:spacing w:val="26"/>
        </w:rPr>
        <w:t xml:space="preserve"> </w:t>
      </w:r>
      <w:r>
        <w:rPr>
          <w:spacing w:val="-2"/>
        </w:rPr>
        <w:t>固定式通用灯具</w:t>
      </w:r>
      <w:r>
        <w:t xml:space="preserve"> </w:t>
      </w:r>
      <w:r>
        <w:rPr>
          <w:spacing w:val="-1"/>
        </w:rPr>
        <w:t>GB 7000.202—2008 灯具  第</w:t>
      </w:r>
      <w:r>
        <w:rPr>
          <w:spacing w:val="-31"/>
        </w:rPr>
        <w:t xml:space="preserve"> </w:t>
      </w:r>
      <w:r>
        <w:rPr>
          <w:spacing w:val="-1"/>
        </w:rPr>
        <w:t>2—2</w:t>
      </w:r>
      <w:r>
        <w:rPr>
          <w:spacing w:val="-41"/>
        </w:rPr>
        <w:t xml:space="preserve"> </w:t>
      </w:r>
      <w:r>
        <w:rPr>
          <w:spacing w:val="-1"/>
        </w:rPr>
        <w:t>部分：特殊要求 嵌入式灯具</w:t>
      </w:r>
    </w:p>
    <w:p w14:paraId="3D8F9194">
      <w:pPr>
        <w:pStyle w:val="2"/>
        <w:spacing w:before="30" w:line="220" w:lineRule="auto"/>
        <w:ind w:left="377"/>
      </w:pPr>
      <w:r>
        <w:rPr>
          <w:spacing w:val="-1"/>
        </w:rPr>
        <w:t>GB 7000.204—2008 灯具  第</w:t>
      </w:r>
      <w:r>
        <w:rPr>
          <w:spacing w:val="-30"/>
        </w:rPr>
        <w:t xml:space="preserve"> </w:t>
      </w:r>
      <w:r>
        <w:rPr>
          <w:spacing w:val="-1"/>
        </w:rPr>
        <w:t>2—4</w:t>
      </w:r>
      <w:r>
        <w:rPr>
          <w:spacing w:val="-41"/>
        </w:rPr>
        <w:t xml:space="preserve"> </w:t>
      </w:r>
      <w:r>
        <w:rPr>
          <w:spacing w:val="-1"/>
        </w:rPr>
        <w:t>部分：特殊要求 可移式通用灯具</w:t>
      </w:r>
    </w:p>
    <w:p w14:paraId="09AF5A10">
      <w:pPr>
        <w:pStyle w:val="2"/>
        <w:spacing w:before="189" w:line="220" w:lineRule="auto"/>
        <w:ind w:left="377"/>
      </w:pPr>
      <w:r>
        <w:rPr>
          <w:spacing w:val="-2"/>
        </w:rPr>
        <w:t>GB 24906—2010 普通照明用</w:t>
      </w:r>
      <w:r>
        <w:rPr>
          <w:spacing w:val="-30"/>
        </w:rPr>
        <w:t xml:space="preserve"> </w:t>
      </w:r>
      <w:r>
        <w:rPr>
          <w:spacing w:val="-2"/>
        </w:rPr>
        <w:t>50V</w:t>
      </w:r>
      <w:r>
        <w:rPr>
          <w:spacing w:val="-20"/>
        </w:rPr>
        <w:t xml:space="preserve"> </w:t>
      </w:r>
      <w:r>
        <w:rPr>
          <w:spacing w:val="-2"/>
        </w:rPr>
        <w:t>以上自镇流</w:t>
      </w:r>
      <w:r>
        <w:rPr>
          <w:spacing w:val="-47"/>
        </w:rPr>
        <w:t xml:space="preserve"> </w:t>
      </w:r>
      <w:r>
        <w:rPr>
          <w:spacing w:val="-2"/>
        </w:rPr>
        <w:t>LED</w:t>
      </w:r>
      <w:r>
        <w:rPr>
          <w:spacing w:val="-42"/>
        </w:rPr>
        <w:t xml:space="preserve"> </w:t>
      </w:r>
      <w:r>
        <w:rPr>
          <w:spacing w:val="-2"/>
        </w:rPr>
        <w:t>灯  安全要求</w:t>
      </w:r>
    </w:p>
    <w:p w14:paraId="1D9D3324">
      <w:pPr>
        <w:pStyle w:val="2"/>
        <w:spacing w:before="191" w:line="374" w:lineRule="auto"/>
        <w:ind w:left="23" w:right="2090" w:firstLine="358"/>
      </w:pPr>
      <w:r>
        <w:rPr>
          <w:spacing w:val="-1"/>
        </w:rPr>
        <w:t>现行有效的企业标准、团体标准、地方标准及产品明示质量要求</w:t>
      </w:r>
      <w:r>
        <w:rPr>
          <w:spacing w:val="17"/>
        </w:rPr>
        <w:t xml:space="preserve"> </w:t>
      </w:r>
      <w:r>
        <w:rPr>
          <w:rFonts w:ascii="Calibri" w:hAnsi="Calibri" w:eastAsia="Calibri" w:cs="Calibri"/>
          <w:spacing w:val="-3"/>
        </w:rPr>
        <w:t>3.2</w:t>
      </w:r>
      <w:r>
        <w:rPr>
          <w:rFonts w:ascii="Calibri" w:hAnsi="Calibri" w:eastAsia="Calibri" w:cs="Calibri"/>
          <w:spacing w:val="16"/>
        </w:rPr>
        <w:t xml:space="preserve"> </w:t>
      </w:r>
      <w:r>
        <w:rPr>
          <w:spacing w:val="-3"/>
        </w:rPr>
        <w:t>判定原则</w:t>
      </w:r>
    </w:p>
    <w:p w14:paraId="24A63565">
      <w:pPr>
        <w:pStyle w:val="2"/>
        <w:spacing w:before="28" w:line="374" w:lineRule="auto"/>
        <w:ind w:left="24" w:right="22" w:firstLine="418"/>
      </w:pPr>
      <w:r>
        <w:rPr>
          <w:spacing w:val="-3"/>
        </w:rPr>
        <w:t>经检验，检验项目全部合格，判定为被抽查产品所检项目未发现不合格；检验项目中任</w:t>
      </w:r>
      <w:r>
        <w:rPr>
          <w:spacing w:val="9"/>
        </w:rPr>
        <w:t xml:space="preserve"> </w:t>
      </w:r>
      <w:r>
        <w:rPr>
          <w:spacing w:val="-2"/>
        </w:rPr>
        <w:t>一项或一项以上不合格，判定为被抽查产品不合格。</w:t>
      </w:r>
    </w:p>
    <w:p w14:paraId="1777EF23">
      <w:pPr>
        <w:pStyle w:val="2"/>
        <w:spacing w:before="31" w:line="373" w:lineRule="auto"/>
        <w:ind w:left="22" w:right="22" w:firstLine="418"/>
      </w:pPr>
      <w:r>
        <w:rPr>
          <w:spacing w:val="-3"/>
        </w:rPr>
        <w:t>若被检产品明示的质量要求高于本细则中检验项目依据的标准要求时，应按被检产品明</w:t>
      </w:r>
      <w:r>
        <w:rPr>
          <w:spacing w:val="11"/>
        </w:rPr>
        <w:t xml:space="preserve"> </w:t>
      </w:r>
      <w:r>
        <w:rPr>
          <w:spacing w:val="-4"/>
        </w:rPr>
        <w:t>示的质量要求判定。</w:t>
      </w:r>
    </w:p>
    <w:p w14:paraId="1DB27903">
      <w:pPr>
        <w:pStyle w:val="2"/>
        <w:spacing w:before="31" w:line="374" w:lineRule="auto"/>
        <w:ind w:left="22" w:right="22" w:firstLine="418"/>
      </w:pPr>
      <w:r>
        <w:rPr>
          <w:spacing w:val="-3"/>
        </w:rPr>
        <w:t>若被检产品明示的质量要求低于本细则中检验项目依据的强制性标准要求时，应按照强</w:t>
      </w:r>
      <w:r>
        <w:rPr>
          <w:spacing w:val="11"/>
        </w:rPr>
        <w:t xml:space="preserve"> </w:t>
      </w:r>
      <w:r>
        <w:rPr>
          <w:spacing w:val="-4"/>
        </w:rPr>
        <w:t>制性标准要求判定。</w:t>
      </w:r>
    </w:p>
    <w:p w14:paraId="406D8EE6">
      <w:pPr>
        <w:pStyle w:val="2"/>
        <w:spacing w:before="28" w:line="374" w:lineRule="auto"/>
        <w:ind w:left="45" w:right="22" w:firstLine="395"/>
      </w:pPr>
      <w:r>
        <w:rPr>
          <w:spacing w:val="-3"/>
        </w:rPr>
        <w:t>若被检产品明示的质量要求低于或包含本细则中检验项目依据的推荐性标准要求时，应</w:t>
      </w:r>
      <w:r>
        <w:rPr>
          <w:spacing w:val="11"/>
        </w:rPr>
        <w:t xml:space="preserve"> </w:t>
      </w:r>
      <w:r>
        <w:rPr>
          <w:spacing w:val="-4"/>
        </w:rPr>
        <w:t>以被检产品明示的质量要求判定。</w:t>
      </w:r>
    </w:p>
    <w:p w14:paraId="28D73B3D">
      <w:pPr>
        <w:spacing w:line="374" w:lineRule="auto"/>
        <w:sectPr>
          <w:pgSz w:w="11905" w:h="16840"/>
          <w:pgMar w:top="1431" w:right="1776" w:bottom="0" w:left="1785" w:header="0" w:footer="0" w:gutter="0"/>
          <w:cols w:space="720" w:num="1"/>
        </w:sectPr>
      </w:pPr>
    </w:p>
    <w:p w14:paraId="597A04A5">
      <w:pPr>
        <w:pStyle w:val="2"/>
        <w:spacing w:before="179" w:line="374" w:lineRule="auto"/>
        <w:ind w:left="22" w:right="13" w:firstLine="418"/>
      </w:pPr>
      <w:r>
        <w:rPr>
          <w:spacing w:val="-3"/>
        </w:rPr>
        <w:t>若被检产品明示的质量要求缺少本细则中检验项目依据的强制性标准要求时，应按照强</w:t>
      </w:r>
      <w:r>
        <w:rPr>
          <w:spacing w:val="11"/>
        </w:rPr>
        <w:t xml:space="preserve"> </w:t>
      </w:r>
      <w:r>
        <w:rPr>
          <w:spacing w:val="-4"/>
        </w:rPr>
        <w:t>制性标准要求判定。</w:t>
      </w:r>
    </w:p>
    <w:p w14:paraId="7FC7308E">
      <w:pPr>
        <w:pStyle w:val="2"/>
        <w:spacing w:before="29" w:line="373" w:lineRule="auto"/>
        <w:ind w:left="23" w:right="13" w:firstLine="417"/>
      </w:pPr>
      <w:r>
        <w:rPr>
          <w:spacing w:val="-3"/>
        </w:rPr>
        <w:t>若被检产品明示的质量要求缺少本细则中检验项目依据的推荐性标准要求时，该项目不</w:t>
      </w:r>
      <w:r>
        <w:rPr>
          <w:spacing w:val="11"/>
        </w:rPr>
        <w:t xml:space="preserve"> </w:t>
      </w:r>
      <w:r>
        <w:rPr>
          <w:spacing w:val="-7"/>
        </w:rPr>
        <w:t>参与判定。</w:t>
      </w:r>
    </w:p>
    <w:sectPr>
      <w:pgSz w:w="11905" w:h="16840"/>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5E068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Calibri" w:hAnsi="Calibri" w:eastAsia="Calibri" w:cs="Calibri"/>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1356</Words>
  <Characters>2225</Characters>
  <TotalTime>0</TotalTime>
  <ScaleCrop>false</ScaleCrop>
  <LinksUpToDate>false</LinksUpToDate>
  <CharactersWithSpaces>2467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2025-02-26T09:14:00Z</dcterms:created>
  <dc:creator>Administrator</dc:creator>
  <cp:lastModifiedBy>WPS_1645145261</cp:lastModifiedBy>
  <dcterms:modified xsi:type="dcterms:W3CDTF">2025-05-01T08:30:06Z</dcterms:modified>
  <dc:title>&lt;BAFEB1B1CAA1B5C6BEDFB2FAC6B7D6CAC1BFBCE0B6BDB3E9B2E9CAB5CAA9CFB8D4F2A3A832303235C4EAB0E6A3A92E646F6378&gt;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2025-05-01T16:29:59Z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AEC0124EC9124085AB3232482CD95C24_12</vt:lpwstr>
  </property>
</Properties>
</file>