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1D764">
      <w:pPr>
        <w:spacing w:line="319" w:lineRule="auto"/>
        <w:rPr>
          <w:rFonts w:ascii="Arial"/>
          <w:sz w:val="21"/>
        </w:rPr>
      </w:pPr>
    </w:p>
    <w:p w14:paraId="396B8F14">
      <w:pPr>
        <w:spacing w:before="101" w:line="298" w:lineRule="auto"/>
        <w:ind w:left="2247" w:right="1747" w:hanging="481"/>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bookmarkStart w:id="0" w:name="_GoBack"/>
      <w:bookmarkEnd w:id="0"/>
      <w:r>
        <w:rPr>
          <w:rFonts w:ascii="黑体" w:hAnsi="黑体" w:eastAsia="黑体" w:cs="黑体"/>
          <w:spacing w:val="9"/>
          <w:sz w:val="31"/>
          <w:szCs w:val="31"/>
        </w:rPr>
        <w:t>车用汽油和车用柴油产品质量</w:t>
      </w:r>
      <w:r>
        <w:rPr>
          <w:rFonts w:ascii="黑体" w:hAnsi="黑体" w:eastAsia="黑体" w:cs="黑体"/>
          <w:spacing w:val="2"/>
          <w:sz w:val="31"/>
          <w:szCs w:val="31"/>
        </w:rPr>
        <w:t xml:space="preserve"> </w:t>
      </w:r>
      <w:r>
        <w:rPr>
          <w:rFonts w:ascii="黑体" w:hAnsi="黑体" w:eastAsia="黑体" w:cs="黑体"/>
          <w:spacing w:val="5"/>
          <w:sz w:val="31"/>
          <w:szCs w:val="31"/>
        </w:rPr>
        <w:t>监督抽查实施细则（2025</w:t>
      </w:r>
      <w:r>
        <w:rPr>
          <w:rFonts w:ascii="黑体" w:hAnsi="黑体" w:eastAsia="黑体" w:cs="黑体"/>
          <w:spacing w:val="-59"/>
          <w:sz w:val="31"/>
          <w:szCs w:val="31"/>
        </w:rPr>
        <w:t xml:space="preserve"> </w:t>
      </w:r>
      <w:r>
        <w:rPr>
          <w:rFonts w:ascii="黑体" w:hAnsi="黑体" w:eastAsia="黑体" w:cs="黑体"/>
          <w:spacing w:val="5"/>
          <w:sz w:val="31"/>
          <w:szCs w:val="31"/>
        </w:rPr>
        <w:t>年版）</w:t>
      </w:r>
    </w:p>
    <w:p w14:paraId="556F9E7A">
      <w:pPr>
        <w:spacing w:line="317" w:lineRule="auto"/>
        <w:rPr>
          <w:rFonts w:ascii="Arial"/>
          <w:sz w:val="21"/>
        </w:rPr>
      </w:pPr>
    </w:p>
    <w:p w14:paraId="6C0E2C86">
      <w:pPr>
        <w:spacing w:line="317" w:lineRule="auto"/>
        <w:rPr>
          <w:rFonts w:ascii="Arial"/>
          <w:sz w:val="21"/>
        </w:rPr>
      </w:pPr>
    </w:p>
    <w:p w14:paraId="0C016F0C">
      <w:pPr>
        <w:spacing w:before="68" w:line="219" w:lineRule="auto"/>
        <w:ind w:left="376"/>
        <w:rPr>
          <w:rFonts w:ascii="黑体" w:hAnsi="黑体" w:eastAsia="黑体" w:cs="黑体"/>
          <w:sz w:val="21"/>
          <w:szCs w:val="21"/>
        </w:rPr>
      </w:pPr>
      <w:r>
        <w:rPr>
          <w:rFonts w:ascii="黑体" w:hAnsi="黑体" w:eastAsia="黑体" w:cs="黑体"/>
          <w:spacing w:val="-3"/>
          <w:sz w:val="21"/>
          <w:szCs w:val="21"/>
        </w:rPr>
        <w:t>1、抽样方法</w:t>
      </w:r>
    </w:p>
    <w:p w14:paraId="27853A60">
      <w:pPr>
        <w:pStyle w:val="2"/>
        <w:spacing w:before="190" w:line="374" w:lineRule="auto"/>
        <w:ind w:left="437" w:right="2349"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1DEA0A67">
      <w:pPr>
        <w:pStyle w:val="2"/>
        <w:spacing w:before="30" w:line="380" w:lineRule="auto"/>
        <w:ind w:left="4" w:firstLine="419"/>
        <w:jc w:val="both"/>
      </w:pPr>
      <w:r>
        <w:t>在企业的成品库内或市场待销产品中随机抽取有产品质量检验合格证明或者以其它形式表</w:t>
      </w:r>
      <w:r>
        <w:rPr>
          <w:spacing w:val="5"/>
        </w:rPr>
        <w:t xml:space="preserve"> </w:t>
      </w:r>
      <w:r>
        <w:rPr>
          <w:spacing w:val="-2"/>
        </w:rPr>
        <w:t>明合格（合格证、合格报告、企业相关人员确认等</w:t>
      </w:r>
      <w:r>
        <w:rPr>
          <w:spacing w:val="-3"/>
        </w:rPr>
        <w:t>方式均可）的产品。正在销售的产品(有明显</w:t>
      </w:r>
      <w:r>
        <w:t xml:space="preserve"> </w:t>
      </w:r>
      <w:r>
        <w:rPr>
          <w:spacing w:val="-3"/>
        </w:rPr>
        <w:t>试制品和处理品标志的除外)视为自检合格。取</w:t>
      </w:r>
      <w:r>
        <w:rPr>
          <w:spacing w:val="-45"/>
        </w:rPr>
        <w:t xml:space="preserve"> </w:t>
      </w:r>
      <w:r>
        <w:rPr>
          <w:spacing w:val="-3"/>
        </w:rPr>
        <w:t>4L</w:t>
      </w:r>
      <w:r>
        <w:rPr>
          <w:spacing w:val="-44"/>
        </w:rPr>
        <w:t xml:space="preserve"> </w:t>
      </w:r>
      <w:r>
        <w:rPr>
          <w:spacing w:val="-3"/>
        </w:rPr>
        <w:t>为样本,其中检验样品</w:t>
      </w:r>
      <w:r>
        <w:rPr>
          <w:spacing w:val="-42"/>
        </w:rPr>
        <w:t xml:space="preserve"> </w:t>
      </w:r>
      <w:r>
        <w:rPr>
          <w:spacing w:val="-3"/>
        </w:rPr>
        <w:t>2L,备用样品</w:t>
      </w:r>
      <w:r>
        <w:rPr>
          <w:spacing w:val="-41"/>
        </w:rPr>
        <w:t xml:space="preserve"> </w:t>
      </w:r>
      <w:r>
        <w:rPr>
          <w:spacing w:val="-4"/>
        </w:rPr>
        <w:t>2L，盛装</w:t>
      </w:r>
      <w:r>
        <w:t xml:space="preserve"> </w:t>
      </w:r>
      <w:r>
        <w:rPr>
          <w:spacing w:val="-1"/>
        </w:rPr>
        <w:t>在合适的避光容器中。</w:t>
      </w:r>
    </w:p>
    <w:p w14:paraId="3B29D545">
      <w:pPr>
        <w:spacing w:before="29" w:line="220" w:lineRule="auto"/>
        <w:ind w:left="318"/>
        <w:rPr>
          <w:rFonts w:ascii="黑体" w:hAnsi="黑体" w:eastAsia="黑体" w:cs="黑体"/>
          <w:sz w:val="21"/>
          <w:szCs w:val="21"/>
        </w:rPr>
      </w:pPr>
      <w:r>
        <w:rPr>
          <w:rFonts w:ascii="黑体" w:hAnsi="黑体" w:eastAsia="黑体" w:cs="黑体"/>
          <w:spacing w:val="-1"/>
          <w:sz w:val="21"/>
          <w:szCs w:val="21"/>
        </w:rPr>
        <w:t>2、检验依据</w:t>
      </w:r>
    </w:p>
    <w:p w14:paraId="396FEA62">
      <w:pPr>
        <w:pStyle w:val="2"/>
        <w:spacing w:before="191" w:line="221" w:lineRule="auto"/>
        <w:ind w:left="756"/>
      </w:pPr>
      <w:r>
        <w:rPr>
          <w:spacing w:val="-4"/>
        </w:rPr>
        <w:t>表</w:t>
      </w:r>
      <w:r>
        <w:rPr>
          <w:spacing w:val="-13"/>
        </w:rPr>
        <w:t xml:space="preserve"> </w:t>
      </w:r>
      <w:r>
        <w:rPr>
          <w:spacing w:val="-4"/>
        </w:rPr>
        <w:t>1  车用汽油（车用乙醇汽油（</w:t>
      </w:r>
      <w:r>
        <w:rPr>
          <w:rFonts w:ascii="Times New Roman" w:hAnsi="Times New Roman" w:eastAsia="Times New Roman" w:cs="Times New Roman"/>
          <w:spacing w:val="-4"/>
        </w:rPr>
        <w:t>E10</w:t>
      </w:r>
      <w:r>
        <w:rPr>
          <w:spacing w:val="-4"/>
        </w:rPr>
        <w:t>）、车用乙醇汽油调合组分油）检验项目</w:t>
      </w:r>
    </w:p>
    <w:p w14:paraId="77A72FE7">
      <w:pPr>
        <w:spacing w:line="17" w:lineRule="exact"/>
      </w:pPr>
    </w:p>
    <w:tbl>
      <w:tblPr>
        <w:tblStyle w:val="5"/>
        <w:tblW w:w="8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3116"/>
        <w:gridCol w:w="2126"/>
        <w:gridCol w:w="2519"/>
      </w:tblGrid>
      <w:tr w14:paraId="078D1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49" w:type="dxa"/>
            <w:vAlign w:val="top"/>
          </w:tcPr>
          <w:p w14:paraId="2FB3C6F5">
            <w:pPr>
              <w:spacing w:before="144" w:line="222" w:lineRule="auto"/>
              <w:ind w:left="218"/>
              <w:rPr>
                <w:rFonts w:ascii="宋体" w:hAnsi="宋体" w:eastAsia="宋体" w:cs="宋体"/>
                <w:sz w:val="21"/>
                <w:szCs w:val="21"/>
              </w:rPr>
            </w:pPr>
            <w:r>
              <w:rPr>
                <w:rFonts w:ascii="宋体" w:hAnsi="宋体" w:eastAsia="宋体" w:cs="宋体"/>
                <w:spacing w:val="-2"/>
                <w:sz w:val="21"/>
                <w:szCs w:val="21"/>
              </w:rPr>
              <w:t>序号</w:t>
            </w:r>
          </w:p>
        </w:tc>
        <w:tc>
          <w:tcPr>
            <w:tcW w:w="3116" w:type="dxa"/>
            <w:vAlign w:val="top"/>
          </w:tcPr>
          <w:p w14:paraId="26B54E9B">
            <w:pPr>
              <w:spacing w:before="144" w:line="221" w:lineRule="auto"/>
              <w:ind w:left="1141"/>
              <w:rPr>
                <w:rFonts w:ascii="宋体" w:hAnsi="宋体" w:eastAsia="宋体" w:cs="宋体"/>
                <w:sz w:val="21"/>
                <w:szCs w:val="21"/>
              </w:rPr>
            </w:pPr>
            <w:r>
              <w:rPr>
                <w:rFonts w:ascii="宋体" w:hAnsi="宋体" w:eastAsia="宋体" w:cs="宋体"/>
                <w:spacing w:val="-2"/>
                <w:sz w:val="21"/>
                <w:szCs w:val="21"/>
              </w:rPr>
              <w:t>检验项目</w:t>
            </w:r>
          </w:p>
        </w:tc>
        <w:tc>
          <w:tcPr>
            <w:tcW w:w="2126" w:type="dxa"/>
            <w:vAlign w:val="top"/>
          </w:tcPr>
          <w:p w14:paraId="412CD071">
            <w:pPr>
              <w:spacing w:before="144"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519" w:type="dxa"/>
            <w:vAlign w:val="top"/>
          </w:tcPr>
          <w:p w14:paraId="2FE16C47">
            <w:pPr>
              <w:spacing w:before="144" w:line="221" w:lineRule="auto"/>
              <w:ind w:left="844"/>
              <w:rPr>
                <w:rFonts w:ascii="宋体" w:hAnsi="宋体" w:eastAsia="宋体" w:cs="宋体"/>
                <w:sz w:val="21"/>
                <w:szCs w:val="21"/>
              </w:rPr>
            </w:pPr>
            <w:r>
              <w:rPr>
                <w:rFonts w:ascii="宋体" w:hAnsi="宋体" w:eastAsia="宋体" w:cs="宋体"/>
                <w:spacing w:val="-2"/>
                <w:sz w:val="21"/>
                <w:szCs w:val="21"/>
              </w:rPr>
              <w:t>检验方法</w:t>
            </w:r>
          </w:p>
        </w:tc>
      </w:tr>
      <w:tr w14:paraId="1A23F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49" w:type="dxa"/>
            <w:vAlign w:val="top"/>
          </w:tcPr>
          <w:p w14:paraId="28AB52FE">
            <w:pPr>
              <w:spacing w:line="280" w:lineRule="auto"/>
              <w:rPr>
                <w:rFonts w:ascii="Arial"/>
                <w:sz w:val="21"/>
              </w:rPr>
            </w:pPr>
          </w:p>
          <w:p w14:paraId="3042E479">
            <w:pPr>
              <w:pStyle w:val="6"/>
              <w:spacing w:before="60" w:line="187" w:lineRule="auto"/>
              <w:ind w:left="394"/>
            </w:pPr>
            <w:r>
              <w:t>1</w:t>
            </w:r>
          </w:p>
        </w:tc>
        <w:tc>
          <w:tcPr>
            <w:tcW w:w="3116" w:type="dxa"/>
            <w:vAlign w:val="top"/>
          </w:tcPr>
          <w:p w14:paraId="6E27DD96">
            <w:pPr>
              <w:spacing w:before="303" w:line="220" w:lineRule="auto"/>
              <w:ind w:left="565"/>
              <w:rPr>
                <w:rFonts w:ascii="宋体" w:hAnsi="宋体" w:eastAsia="宋体" w:cs="宋体"/>
                <w:sz w:val="21"/>
                <w:szCs w:val="21"/>
              </w:rPr>
            </w:pPr>
            <w:r>
              <w:rPr>
                <w:rFonts w:ascii="宋体" w:hAnsi="宋体" w:eastAsia="宋体" w:cs="宋体"/>
                <w:spacing w:val="-1"/>
                <w:sz w:val="21"/>
                <w:szCs w:val="21"/>
              </w:rPr>
              <w:t>研究法辛烷值（RON）</w:t>
            </w:r>
          </w:p>
        </w:tc>
        <w:tc>
          <w:tcPr>
            <w:tcW w:w="2126" w:type="dxa"/>
            <w:vAlign w:val="top"/>
          </w:tcPr>
          <w:p w14:paraId="089240BB">
            <w:pPr>
              <w:pStyle w:val="6"/>
              <w:spacing w:before="69" w:line="218"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08F70893">
            <w:pPr>
              <w:spacing w:before="303" w:line="226" w:lineRule="auto"/>
              <w:ind w:left="474"/>
              <w:rPr>
                <w:rFonts w:ascii="宋体" w:hAnsi="宋体" w:eastAsia="宋体" w:cs="宋体"/>
                <w:sz w:val="21"/>
                <w:szCs w:val="21"/>
              </w:rPr>
            </w:pPr>
            <w:r>
              <w:rPr>
                <w:rFonts w:ascii="宋体" w:hAnsi="宋体" w:eastAsia="宋体" w:cs="宋体"/>
                <w:spacing w:val="-1"/>
                <w:sz w:val="21"/>
                <w:szCs w:val="21"/>
              </w:rPr>
              <w:t>GB/T 5487—2015</w:t>
            </w:r>
          </w:p>
        </w:tc>
      </w:tr>
      <w:tr w14:paraId="0A217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49" w:type="dxa"/>
            <w:vAlign w:val="top"/>
          </w:tcPr>
          <w:p w14:paraId="76EFF61B">
            <w:pPr>
              <w:spacing w:line="280" w:lineRule="auto"/>
              <w:rPr>
                <w:rFonts w:ascii="Arial"/>
                <w:sz w:val="21"/>
              </w:rPr>
            </w:pPr>
          </w:p>
          <w:p w14:paraId="62EED815">
            <w:pPr>
              <w:pStyle w:val="6"/>
              <w:spacing w:before="60" w:line="187" w:lineRule="auto"/>
              <w:ind w:left="373"/>
            </w:pPr>
            <w:r>
              <w:t>2</w:t>
            </w:r>
          </w:p>
        </w:tc>
        <w:tc>
          <w:tcPr>
            <w:tcW w:w="3116" w:type="dxa"/>
            <w:vAlign w:val="top"/>
          </w:tcPr>
          <w:p w14:paraId="2BBAFC71">
            <w:pPr>
              <w:spacing w:before="301" w:line="221" w:lineRule="auto"/>
              <w:ind w:left="1246"/>
              <w:rPr>
                <w:rFonts w:ascii="宋体" w:hAnsi="宋体" w:eastAsia="宋体" w:cs="宋体"/>
                <w:sz w:val="21"/>
                <w:szCs w:val="21"/>
              </w:rPr>
            </w:pPr>
            <w:r>
              <w:rPr>
                <w:rFonts w:ascii="宋体" w:hAnsi="宋体" w:eastAsia="宋体" w:cs="宋体"/>
                <w:spacing w:val="-2"/>
                <w:sz w:val="21"/>
                <w:szCs w:val="21"/>
              </w:rPr>
              <w:t>铅含量</w:t>
            </w:r>
          </w:p>
        </w:tc>
        <w:tc>
          <w:tcPr>
            <w:tcW w:w="2126" w:type="dxa"/>
            <w:vAlign w:val="top"/>
          </w:tcPr>
          <w:p w14:paraId="5684477C">
            <w:pPr>
              <w:pStyle w:val="6"/>
              <w:spacing w:before="69" w:line="217"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5ABB2D22">
            <w:pPr>
              <w:spacing w:before="301" w:line="226" w:lineRule="auto"/>
              <w:ind w:left="474"/>
              <w:rPr>
                <w:rFonts w:ascii="宋体" w:hAnsi="宋体" w:eastAsia="宋体" w:cs="宋体"/>
                <w:sz w:val="21"/>
                <w:szCs w:val="21"/>
              </w:rPr>
            </w:pPr>
            <w:r>
              <w:rPr>
                <w:rFonts w:ascii="宋体" w:hAnsi="宋体" w:eastAsia="宋体" w:cs="宋体"/>
                <w:spacing w:val="-1"/>
                <w:sz w:val="21"/>
                <w:szCs w:val="21"/>
              </w:rPr>
              <w:t>GB/T 8020—2015</w:t>
            </w:r>
          </w:p>
        </w:tc>
      </w:tr>
      <w:tr w14:paraId="62BBC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49" w:type="dxa"/>
            <w:vAlign w:val="top"/>
          </w:tcPr>
          <w:p w14:paraId="0EECEE5D">
            <w:pPr>
              <w:spacing w:line="281" w:lineRule="auto"/>
              <w:rPr>
                <w:rFonts w:ascii="Arial"/>
                <w:sz w:val="21"/>
              </w:rPr>
            </w:pPr>
          </w:p>
          <w:p w14:paraId="61EDF304">
            <w:pPr>
              <w:pStyle w:val="6"/>
              <w:spacing w:before="60" w:line="187" w:lineRule="auto"/>
              <w:ind w:left="377"/>
            </w:pPr>
            <w:r>
              <w:t>3</w:t>
            </w:r>
          </w:p>
        </w:tc>
        <w:tc>
          <w:tcPr>
            <w:tcW w:w="3116" w:type="dxa"/>
            <w:vAlign w:val="top"/>
          </w:tcPr>
          <w:p w14:paraId="21D46A7B">
            <w:pPr>
              <w:spacing w:before="304" w:line="221" w:lineRule="auto"/>
              <w:ind w:left="933"/>
              <w:rPr>
                <w:rFonts w:ascii="宋体" w:hAnsi="宋体" w:eastAsia="宋体" w:cs="宋体"/>
                <w:sz w:val="21"/>
                <w:szCs w:val="21"/>
              </w:rPr>
            </w:pPr>
            <w:r>
              <w:rPr>
                <w:rFonts w:ascii="宋体" w:hAnsi="宋体" w:eastAsia="宋体" w:cs="宋体"/>
                <w:spacing w:val="-3"/>
                <w:sz w:val="21"/>
                <w:szCs w:val="21"/>
              </w:rPr>
              <w:t>密度（20℃)</w:t>
            </w:r>
          </w:p>
        </w:tc>
        <w:tc>
          <w:tcPr>
            <w:tcW w:w="2126" w:type="dxa"/>
            <w:vAlign w:val="top"/>
          </w:tcPr>
          <w:p w14:paraId="67C9BEA0">
            <w:pPr>
              <w:pStyle w:val="6"/>
              <w:spacing w:before="71" w:line="217"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095D584C">
            <w:pPr>
              <w:spacing w:before="33" w:line="228" w:lineRule="auto"/>
              <w:ind w:left="474" w:right="467"/>
              <w:jc w:val="both"/>
              <w:rPr>
                <w:rFonts w:ascii="宋体" w:hAnsi="宋体" w:eastAsia="宋体" w:cs="宋体"/>
                <w:sz w:val="21"/>
                <w:szCs w:val="21"/>
              </w:rPr>
            </w:pPr>
            <w:r>
              <w:rPr>
                <w:rFonts w:ascii="宋体" w:hAnsi="宋体" w:eastAsia="宋体" w:cs="宋体"/>
                <w:spacing w:val="-3"/>
                <w:sz w:val="21"/>
                <w:szCs w:val="21"/>
              </w:rPr>
              <w:t>GB/T</w:t>
            </w:r>
            <w:r>
              <w:rPr>
                <w:rFonts w:ascii="宋体" w:hAnsi="宋体" w:eastAsia="宋体" w:cs="宋体"/>
                <w:spacing w:val="34"/>
                <w:sz w:val="21"/>
                <w:szCs w:val="21"/>
              </w:rPr>
              <w:t xml:space="preserve"> </w:t>
            </w:r>
            <w:r>
              <w:rPr>
                <w:rFonts w:ascii="宋体" w:hAnsi="宋体" w:eastAsia="宋体" w:cs="宋体"/>
                <w:spacing w:val="-3"/>
                <w:sz w:val="21"/>
                <w:szCs w:val="21"/>
              </w:rPr>
              <w:t>1884—2000</w:t>
            </w:r>
            <w:r>
              <w:rPr>
                <w:rFonts w:ascii="宋体" w:hAnsi="宋体" w:eastAsia="宋体" w:cs="宋体"/>
                <w:sz w:val="21"/>
                <w:szCs w:val="21"/>
              </w:rPr>
              <w:t xml:space="preserve"> </w:t>
            </w:r>
            <w:r>
              <w:rPr>
                <w:rFonts w:ascii="宋体" w:hAnsi="宋体" w:eastAsia="宋体" w:cs="宋体"/>
                <w:spacing w:val="-3"/>
                <w:sz w:val="21"/>
                <w:szCs w:val="21"/>
              </w:rPr>
              <w:t>GB/T</w:t>
            </w:r>
            <w:r>
              <w:rPr>
                <w:rFonts w:ascii="宋体" w:hAnsi="宋体" w:eastAsia="宋体" w:cs="宋体"/>
                <w:spacing w:val="34"/>
                <w:sz w:val="21"/>
                <w:szCs w:val="21"/>
              </w:rPr>
              <w:t xml:space="preserve"> </w:t>
            </w:r>
            <w:r>
              <w:rPr>
                <w:rFonts w:ascii="宋体" w:hAnsi="宋体" w:eastAsia="宋体" w:cs="宋体"/>
                <w:spacing w:val="-3"/>
                <w:sz w:val="21"/>
                <w:szCs w:val="21"/>
              </w:rPr>
              <w:t>1885—1998</w:t>
            </w:r>
            <w:r>
              <w:rPr>
                <w:rFonts w:ascii="宋体" w:hAnsi="宋体" w:eastAsia="宋体" w:cs="宋体"/>
                <w:sz w:val="21"/>
                <w:szCs w:val="21"/>
              </w:rPr>
              <w:t xml:space="preserve"> </w:t>
            </w:r>
            <w:r>
              <w:rPr>
                <w:rFonts w:ascii="宋体" w:hAnsi="宋体" w:eastAsia="宋体" w:cs="宋体"/>
                <w:spacing w:val="-1"/>
                <w:sz w:val="21"/>
                <w:szCs w:val="21"/>
              </w:rPr>
              <w:t>SH/T 0604—2000</w:t>
            </w:r>
          </w:p>
        </w:tc>
      </w:tr>
      <w:tr w14:paraId="17E8E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49" w:type="dxa"/>
            <w:vAlign w:val="top"/>
          </w:tcPr>
          <w:p w14:paraId="2B3314D6">
            <w:pPr>
              <w:spacing w:line="282" w:lineRule="auto"/>
              <w:rPr>
                <w:rFonts w:ascii="Arial"/>
                <w:sz w:val="21"/>
              </w:rPr>
            </w:pPr>
          </w:p>
          <w:p w14:paraId="43AA80A3">
            <w:pPr>
              <w:pStyle w:val="6"/>
              <w:spacing w:before="60" w:line="187" w:lineRule="auto"/>
              <w:ind w:left="372"/>
            </w:pPr>
            <w:r>
              <w:t>4</w:t>
            </w:r>
          </w:p>
        </w:tc>
        <w:tc>
          <w:tcPr>
            <w:tcW w:w="3116" w:type="dxa"/>
            <w:vAlign w:val="top"/>
          </w:tcPr>
          <w:p w14:paraId="26C8AE2A">
            <w:pPr>
              <w:spacing w:before="305" w:line="222" w:lineRule="auto"/>
              <w:ind w:left="1249"/>
              <w:rPr>
                <w:rFonts w:ascii="宋体" w:hAnsi="宋体" w:eastAsia="宋体" w:cs="宋体"/>
                <w:sz w:val="21"/>
                <w:szCs w:val="21"/>
              </w:rPr>
            </w:pPr>
            <w:r>
              <w:rPr>
                <w:rFonts w:ascii="宋体" w:hAnsi="宋体" w:eastAsia="宋体" w:cs="宋体"/>
                <w:spacing w:val="-2"/>
                <w:sz w:val="21"/>
                <w:szCs w:val="21"/>
              </w:rPr>
              <w:t>蒸气压</w:t>
            </w:r>
          </w:p>
        </w:tc>
        <w:tc>
          <w:tcPr>
            <w:tcW w:w="2126" w:type="dxa"/>
            <w:vAlign w:val="top"/>
          </w:tcPr>
          <w:p w14:paraId="4466A70F">
            <w:pPr>
              <w:pStyle w:val="6"/>
              <w:spacing w:before="71" w:line="217"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1520F08E">
            <w:pPr>
              <w:spacing w:before="168" w:line="232" w:lineRule="auto"/>
              <w:ind w:left="477" w:right="467" w:hanging="3"/>
              <w:rPr>
                <w:rFonts w:ascii="宋体" w:hAnsi="宋体" w:eastAsia="宋体" w:cs="宋体"/>
                <w:sz w:val="21"/>
                <w:szCs w:val="21"/>
              </w:rPr>
            </w:pPr>
            <w:r>
              <w:rPr>
                <w:rFonts w:ascii="宋体" w:hAnsi="宋体" w:eastAsia="宋体" w:cs="宋体"/>
                <w:spacing w:val="-1"/>
                <w:sz w:val="21"/>
                <w:szCs w:val="21"/>
              </w:rPr>
              <w:t>GB/T 8017—2012</w:t>
            </w:r>
            <w:r>
              <w:rPr>
                <w:rFonts w:ascii="宋体" w:hAnsi="宋体" w:eastAsia="宋体" w:cs="宋体"/>
                <w:spacing w:val="9"/>
                <w:sz w:val="21"/>
                <w:szCs w:val="21"/>
              </w:rPr>
              <w:t xml:space="preserve"> </w:t>
            </w:r>
            <w:r>
              <w:rPr>
                <w:rFonts w:ascii="宋体" w:hAnsi="宋体" w:eastAsia="宋体" w:cs="宋体"/>
                <w:spacing w:val="-1"/>
                <w:sz w:val="21"/>
                <w:szCs w:val="21"/>
              </w:rPr>
              <w:t>SH/T 0794—2007</w:t>
            </w:r>
          </w:p>
        </w:tc>
      </w:tr>
      <w:tr w14:paraId="1615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9" w:type="dxa"/>
            <w:vAlign w:val="top"/>
          </w:tcPr>
          <w:p w14:paraId="2A9E7CA7">
            <w:pPr>
              <w:spacing w:line="284" w:lineRule="auto"/>
              <w:rPr>
                <w:rFonts w:ascii="Arial"/>
                <w:sz w:val="21"/>
              </w:rPr>
            </w:pPr>
          </w:p>
          <w:p w14:paraId="13B3067D">
            <w:pPr>
              <w:pStyle w:val="6"/>
              <w:spacing w:before="60" w:line="184" w:lineRule="auto"/>
              <w:ind w:left="379"/>
            </w:pPr>
            <w:r>
              <w:t>5</w:t>
            </w:r>
          </w:p>
        </w:tc>
        <w:tc>
          <w:tcPr>
            <w:tcW w:w="3116" w:type="dxa"/>
            <w:vAlign w:val="top"/>
          </w:tcPr>
          <w:p w14:paraId="4FF91CDD">
            <w:pPr>
              <w:spacing w:before="304" w:line="221" w:lineRule="auto"/>
              <w:ind w:left="1246"/>
              <w:rPr>
                <w:rFonts w:ascii="宋体" w:hAnsi="宋体" w:eastAsia="宋体" w:cs="宋体"/>
                <w:sz w:val="21"/>
                <w:szCs w:val="21"/>
              </w:rPr>
            </w:pPr>
            <w:r>
              <w:rPr>
                <w:rFonts w:ascii="宋体" w:hAnsi="宋体" w:eastAsia="宋体" w:cs="宋体"/>
                <w:spacing w:val="-1"/>
                <w:sz w:val="21"/>
                <w:szCs w:val="21"/>
              </w:rPr>
              <w:t>硫含量</w:t>
            </w:r>
          </w:p>
        </w:tc>
        <w:tc>
          <w:tcPr>
            <w:tcW w:w="2126" w:type="dxa"/>
            <w:vAlign w:val="top"/>
          </w:tcPr>
          <w:p w14:paraId="0D7F36C6">
            <w:pPr>
              <w:pStyle w:val="6"/>
              <w:spacing w:before="70" w:line="217"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44292E46">
            <w:pPr>
              <w:spacing w:before="304" w:line="226" w:lineRule="auto"/>
              <w:ind w:left="478"/>
              <w:rPr>
                <w:rFonts w:ascii="宋体" w:hAnsi="宋体" w:eastAsia="宋体" w:cs="宋体"/>
                <w:sz w:val="21"/>
                <w:szCs w:val="21"/>
              </w:rPr>
            </w:pPr>
            <w:r>
              <w:rPr>
                <w:rFonts w:ascii="宋体" w:hAnsi="宋体" w:eastAsia="宋体" w:cs="宋体"/>
                <w:spacing w:val="-1"/>
                <w:sz w:val="21"/>
                <w:szCs w:val="21"/>
              </w:rPr>
              <w:t>SH/T 0689—2000</w:t>
            </w:r>
          </w:p>
        </w:tc>
      </w:tr>
      <w:tr w14:paraId="32329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49" w:type="dxa"/>
            <w:vAlign w:val="top"/>
          </w:tcPr>
          <w:p w14:paraId="7FB976E1">
            <w:pPr>
              <w:spacing w:line="283" w:lineRule="auto"/>
              <w:rPr>
                <w:rFonts w:ascii="Arial"/>
                <w:sz w:val="21"/>
              </w:rPr>
            </w:pPr>
          </w:p>
          <w:p w14:paraId="4E67672E">
            <w:pPr>
              <w:pStyle w:val="6"/>
              <w:spacing w:before="60" w:line="187" w:lineRule="auto"/>
              <w:ind w:left="378"/>
            </w:pPr>
            <w:r>
              <w:t>6</w:t>
            </w:r>
          </w:p>
        </w:tc>
        <w:tc>
          <w:tcPr>
            <w:tcW w:w="3116" w:type="dxa"/>
            <w:vAlign w:val="top"/>
          </w:tcPr>
          <w:p w14:paraId="737DF784">
            <w:pPr>
              <w:spacing w:before="307" w:line="221" w:lineRule="auto"/>
              <w:ind w:left="720"/>
              <w:rPr>
                <w:rFonts w:ascii="宋体" w:hAnsi="宋体" w:eastAsia="宋体" w:cs="宋体"/>
                <w:sz w:val="21"/>
                <w:szCs w:val="21"/>
              </w:rPr>
            </w:pPr>
            <w:r>
              <w:rPr>
                <w:rFonts w:ascii="宋体" w:hAnsi="宋体" w:eastAsia="宋体" w:cs="宋体"/>
                <w:spacing w:val="-1"/>
                <w:sz w:val="21"/>
                <w:szCs w:val="21"/>
              </w:rPr>
              <w:t>硫醇（博士试验）</w:t>
            </w:r>
          </w:p>
        </w:tc>
        <w:tc>
          <w:tcPr>
            <w:tcW w:w="2126" w:type="dxa"/>
            <w:vAlign w:val="top"/>
          </w:tcPr>
          <w:p w14:paraId="351FF579">
            <w:pPr>
              <w:pStyle w:val="6"/>
              <w:spacing w:before="71" w:line="217"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7C6C3BB2">
            <w:pPr>
              <w:spacing w:before="306" w:line="226" w:lineRule="auto"/>
              <w:ind w:left="312"/>
              <w:rPr>
                <w:rFonts w:ascii="宋体" w:hAnsi="宋体" w:eastAsia="宋体" w:cs="宋体"/>
                <w:sz w:val="21"/>
                <w:szCs w:val="21"/>
              </w:rPr>
            </w:pPr>
            <w:r>
              <w:rPr>
                <w:rFonts w:ascii="宋体" w:hAnsi="宋体" w:eastAsia="宋体" w:cs="宋体"/>
                <w:sz w:val="21"/>
                <w:szCs w:val="21"/>
              </w:rPr>
              <w:t>NB/SH/T 0174—2015</w:t>
            </w:r>
          </w:p>
        </w:tc>
      </w:tr>
      <w:tr w14:paraId="63FC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49" w:type="dxa"/>
            <w:vAlign w:val="top"/>
          </w:tcPr>
          <w:p w14:paraId="61900915">
            <w:pPr>
              <w:spacing w:line="287" w:lineRule="auto"/>
              <w:rPr>
                <w:rFonts w:ascii="Arial"/>
                <w:sz w:val="21"/>
              </w:rPr>
            </w:pPr>
          </w:p>
          <w:p w14:paraId="36BC181B">
            <w:pPr>
              <w:pStyle w:val="6"/>
              <w:spacing w:before="60" w:line="184" w:lineRule="auto"/>
              <w:ind w:left="377"/>
            </w:pPr>
            <w:r>
              <w:t>7</w:t>
            </w:r>
          </w:p>
        </w:tc>
        <w:tc>
          <w:tcPr>
            <w:tcW w:w="3116" w:type="dxa"/>
            <w:vAlign w:val="top"/>
          </w:tcPr>
          <w:p w14:paraId="67B1DBE7">
            <w:pPr>
              <w:spacing w:before="305" w:line="218" w:lineRule="auto"/>
              <w:ind w:left="565"/>
              <w:rPr>
                <w:rFonts w:ascii="宋体" w:hAnsi="宋体" w:eastAsia="宋体" w:cs="宋体"/>
                <w:sz w:val="21"/>
                <w:szCs w:val="21"/>
              </w:rPr>
            </w:pPr>
            <w:r>
              <w:rPr>
                <w:rFonts w:ascii="宋体" w:hAnsi="宋体" w:eastAsia="宋体" w:cs="宋体"/>
                <w:spacing w:val="-1"/>
                <w:sz w:val="21"/>
                <w:szCs w:val="21"/>
              </w:rPr>
              <w:t>铜片腐蚀（50℃,3h）</w:t>
            </w:r>
          </w:p>
        </w:tc>
        <w:tc>
          <w:tcPr>
            <w:tcW w:w="2126" w:type="dxa"/>
            <w:vAlign w:val="top"/>
          </w:tcPr>
          <w:p w14:paraId="70B2D15D">
            <w:pPr>
              <w:pStyle w:val="6"/>
              <w:spacing w:before="72" w:line="216"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397D845D">
            <w:pPr>
              <w:spacing w:before="304" w:line="226" w:lineRule="auto"/>
              <w:ind w:left="474"/>
              <w:rPr>
                <w:rFonts w:ascii="宋体" w:hAnsi="宋体" w:eastAsia="宋体" w:cs="宋体"/>
                <w:sz w:val="21"/>
                <w:szCs w:val="21"/>
              </w:rPr>
            </w:pPr>
            <w:r>
              <w:rPr>
                <w:rFonts w:ascii="宋体" w:hAnsi="宋体" w:eastAsia="宋体" w:cs="宋体"/>
                <w:spacing w:val="-1"/>
                <w:sz w:val="21"/>
                <w:szCs w:val="21"/>
              </w:rPr>
              <w:t>GB/T 5096—2017</w:t>
            </w:r>
          </w:p>
        </w:tc>
      </w:tr>
      <w:tr w14:paraId="4DB8D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49" w:type="dxa"/>
            <w:vAlign w:val="top"/>
          </w:tcPr>
          <w:p w14:paraId="1B33D58B">
            <w:pPr>
              <w:spacing w:line="284" w:lineRule="auto"/>
              <w:rPr>
                <w:rFonts w:ascii="Arial"/>
                <w:sz w:val="21"/>
              </w:rPr>
            </w:pPr>
          </w:p>
          <w:p w14:paraId="52C9F4D7">
            <w:pPr>
              <w:pStyle w:val="6"/>
              <w:spacing w:before="61" w:line="187" w:lineRule="auto"/>
              <w:ind w:left="382"/>
            </w:pPr>
            <w:r>
              <w:t>8</w:t>
            </w:r>
          </w:p>
        </w:tc>
        <w:tc>
          <w:tcPr>
            <w:tcW w:w="3116" w:type="dxa"/>
            <w:vAlign w:val="top"/>
          </w:tcPr>
          <w:p w14:paraId="3EBF832D">
            <w:pPr>
              <w:spacing w:before="307" w:line="221" w:lineRule="auto"/>
              <w:ind w:left="935"/>
              <w:rPr>
                <w:rFonts w:ascii="宋体" w:hAnsi="宋体" w:eastAsia="宋体" w:cs="宋体"/>
                <w:sz w:val="21"/>
                <w:szCs w:val="21"/>
              </w:rPr>
            </w:pPr>
            <w:r>
              <w:rPr>
                <w:rFonts w:ascii="宋体" w:hAnsi="宋体" w:eastAsia="宋体" w:cs="宋体"/>
                <w:spacing w:val="-2"/>
                <w:sz w:val="21"/>
                <w:szCs w:val="21"/>
              </w:rPr>
              <w:t>水溶性酸或碱</w:t>
            </w:r>
          </w:p>
        </w:tc>
        <w:tc>
          <w:tcPr>
            <w:tcW w:w="2126" w:type="dxa"/>
            <w:vAlign w:val="top"/>
          </w:tcPr>
          <w:p w14:paraId="7BE5344B">
            <w:pPr>
              <w:pStyle w:val="6"/>
              <w:spacing w:before="74" w:line="218"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71718CD5">
            <w:pPr>
              <w:spacing w:before="307" w:line="226" w:lineRule="auto"/>
              <w:ind w:left="525"/>
              <w:rPr>
                <w:rFonts w:ascii="宋体" w:hAnsi="宋体" w:eastAsia="宋体" w:cs="宋体"/>
                <w:sz w:val="21"/>
                <w:szCs w:val="21"/>
              </w:rPr>
            </w:pPr>
            <w:r>
              <w:rPr>
                <w:rFonts w:ascii="宋体" w:hAnsi="宋体" w:eastAsia="宋体" w:cs="宋体"/>
                <w:spacing w:val="-1"/>
                <w:sz w:val="21"/>
                <w:szCs w:val="21"/>
              </w:rPr>
              <w:t>GB/T 259—1988</w:t>
            </w:r>
          </w:p>
        </w:tc>
      </w:tr>
    </w:tbl>
    <w:p w14:paraId="18348C7D">
      <w:pPr>
        <w:rPr>
          <w:rFonts w:ascii="Arial"/>
          <w:sz w:val="21"/>
        </w:rPr>
      </w:pPr>
    </w:p>
    <w:p w14:paraId="605BDE1B">
      <w:pPr>
        <w:rPr>
          <w:rFonts w:ascii="Arial" w:hAnsi="Arial" w:eastAsia="Arial" w:cs="Arial"/>
          <w:sz w:val="21"/>
          <w:szCs w:val="21"/>
        </w:rPr>
        <w:sectPr>
          <w:pgSz w:w="11907" w:h="16839"/>
          <w:pgMar w:top="1431" w:right="1637" w:bottom="0" w:left="1646" w:header="0" w:footer="0" w:gutter="0"/>
          <w:cols w:space="720" w:num="1"/>
        </w:sectPr>
      </w:pPr>
    </w:p>
    <w:p w14:paraId="1783A388">
      <w:pPr>
        <w:spacing w:before="29"/>
      </w:pPr>
    </w:p>
    <w:tbl>
      <w:tblPr>
        <w:tblStyle w:val="5"/>
        <w:tblW w:w="8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3116"/>
        <w:gridCol w:w="2126"/>
        <w:gridCol w:w="2519"/>
      </w:tblGrid>
      <w:tr w14:paraId="7A332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4" w:hRule="atLeast"/>
        </w:trPr>
        <w:tc>
          <w:tcPr>
            <w:tcW w:w="849" w:type="dxa"/>
            <w:vAlign w:val="top"/>
          </w:tcPr>
          <w:p w14:paraId="5D3BBCD8">
            <w:pPr>
              <w:spacing w:line="282" w:lineRule="auto"/>
              <w:rPr>
                <w:rFonts w:ascii="Arial"/>
                <w:sz w:val="21"/>
              </w:rPr>
            </w:pPr>
          </w:p>
          <w:p w14:paraId="79CBFB98">
            <w:pPr>
              <w:pStyle w:val="6"/>
              <w:spacing w:before="60" w:line="187" w:lineRule="auto"/>
              <w:ind w:left="377"/>
            </w:pPr>
            <w:r>
              <w:t>9</w:t>
            </w:r>
          </w:p>
        </w:tc>
        <w:tc>
          <w:tcPr>
            <w:tcW w:w="3116" w:type="dxa"/>
            <w:vAlign w:val="top"/>
          </w:tcPr>
          <w:p w14:paraId="6E24594A">
            <w:pPr>
              <w:spacing w:before="305" w:line="220" w:lineRule="auto"/>
              <w:ind w:left="194"/>
              <w:rPr>
                <w:rFonts w:ascii="宋体" w:hAnsi="宋体" w:eastAsia="宋体" w:cs="宋体"/>
                <w:sz w:val="21"/>
                <w:szCs w:val="21"/>
              </w:rPr>
            </w:pPr>
            <w:r>
              <w:rPr>
                <w:rFonts w:ascii="宋体" w:hAnsi="宋体" w:eastAsia="宋体" w:cs="宋体"/>
                <w:spacing w:val="-1"/>
                <w:sz w:val="21"/>
                <w:szCs w:val="21"/>
              </w:rPr>
              <w:t>机械杂质、水分（质量分数）</w:t>
            </w:r>
          </w:p>
        </w:tc>
        <w:tc>
          <w:tcPr>
            <w:tcW w:w="2126" w:type="dxa"/>
            <w:vAlign w:val="top"/>
          </w:tcPr>
          <w:p w14:paraId="69922615">
            <w:pPr>
              <w:pStyle w:val="6"/>
              <w:spacing w:before="73" w:line="217"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4E61ECF3">
            <w:pPr>
              <w:spacing w:before="33" w:line="226" w:lineRule="auto"/>
              <w:ind w:left="525"/>
              <w:rPr>
                <w:rFonts w:ascii="宋体" w:hAnsi="宋体" w:eastAsia="宋体" w:cs="宋体"/>
                <w:sz w:val="21"/>
                <w:szCs w:val="21"/>
              </w:rPr>
            </w:pPr>
            <w:r>
              <w:rPr>
                <w:rFonts w:ascii="宋体" w:hAnsi="宋体" w:eastAsia="宋体" w:cs="宋体"/>
                <w:spacing w:val="-2"/>
                <w:sz w:val="21"/>
                <w:szCs w:val="21"/>
              </w:rPr>
              <w:t>GB/T</w:t>
            </w:r>
            <w:r>
              <w:rPr>
                <w:rFonts w:ascii="宋体" w:hAnsi="宋体" w:eastAsia="宋体" w:cs="宋体"/>
                <w:spacing w:val="21"/>
                <w:sz w:val="21"/>
                <w:szCs w:val="21"/>
              </w:rPr>
              <w:t xml:space="preserve"> </w:t>
            </w:r>
            <w:r>
              <w:rPr>
                <w:rFonts w:ascii="宋体" w:hAnsi="宋体" w:eastAsia="宋体" w:cs="宋体"/>
                <w:spacing w:val="-2"/>
                <w:sz w:val="21"/>
                <w:szCs w:val="21"/>
              </w:rPr>
              <w:t>511—2010</w:t>
            </w:r>
          </w:p>
          <w:p w14:paraId="34DE4388">
            <w:pPr>
              <w:spacing w:before="14" w:line="226" w:lineRule="auto"/>
              <w:ind w:left="478"/>
              <w:rPr>
                <w:rFonts w:ascii="宋体" w:hAnsi="宋体" w:eastAsia="宋体" w:cs="宋体"/>
                <w:sz w:val="21"/>
                <w:szCs w:val="21"/>
              </w:rPr>
            </w:pPr>
            <w:r>
              <w:rPr>
                <w:rFonts w:ascii="宋体" w:hAnsi="宋体" w:eastAsia="宋体" w:cs="宋体"/>
                <w:spacing w:val="-1"/>
                <w:sz w:val="21"/>
                <w:szCs w:val="21"/>
              </w:rPr>
              <w:t>SH/T 0246—1992</w:t>
            </w:r>
          </w:p>
          <w:p w14:paraId="54EDFF9C">
            <w:pPr>
              <w:spacing w:before="17" w:line="206" w:lineRule="auto"/>
              <w:ind w:left="1093"/>
              <w:rPr>
                <w:rFonts w:ascii="宋体" w:hAnsi="宋体" w:eastAsia="宋体" w:cs="宋体"/>
                <w:sz w:val="21"/>
                <w:szCs w:val="21"/>
              </w:rPr>
            </w:pPr>
            <w:r>
              <w:rPr>
                <w:rFonts w:ascii="宋体" w:hAnsi="宋体" w:eastAsia="宋体" w:cs="宋体"/>
                <w:spacing w:val="-12"/>
                <w:sz w:val="21"/>
                <w:szCs w:val="21"/>
              </w:rPr>
              <w:t>目测</w:t>
            </w:r>
          </w:p>
        </w:tc>
      </w:tr>
      <w:tr w14:paraId="1F89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9" w:type="dxa"/>
            <w:vAlign w:val="top"/>
          </w:tcPr>
          <w:p w14:paraId="5D2E0750">
            <w:pPr>
              <w:spacing w:line="281" w:lineRule="auto"/>
              <w:rPr>
                <w:rFonts w:ascii="Arial"/>
                <w:sz w:val="21"/>
              </w:rPr>
            </w:pPr>
          </w:p>
          <w:p w14:paraId="2A53117F">
            <w:pPr>
              <w:pStyle w:val="6"/>
              <w:spacing w:before="60" w:line="187" w:lineRule="auto"/>
              <w:ind w:left="341"/>
            </w:pPr>
            <w:r>
              <w:rPr>
                <w:spacing w:val="-6"/>
              </w:rPr>
              <w:t>10</w:t>
            </w:r>
          </w:p>
        </w:tc>
        <w:tc>
          <w:tcPr>
            <w:tcW w:w="3116" w:type="dxa"/>
            <w:vAlign w:val="top"/>
          </w:tcPr>
          <w:p w14:paraId="1B84AF73">
            <w:pPr>
              <w:pStyle w:val="6"/>
              <w:spacing w:before="166" w:line="238" w:lineRule="auto"/>
              <w:ind w:left="475" w:right="489" w:firstLine="64"/>
              <w:rPr>
                <w:rFonts w:ascii="宋体" w:hAnsi="宋体" w:eastAsia="宋体" w:cs="宋体"/>
              </w:rPr>
            </w:pPr>
            <w:r>
              <w:rPr>
                <w:rFonts w:ascii="宋体" w:hAnsi="宋体" w:eastAsia="宋体" w:cs="宋体"/>
                <w:spacing w:val="-5"/>
              </w:rPr>
              <w:t>甲醇含量（质量分数）</w:t>
            </w:r>
            <w:r>
              <w:rPr>
                <w:rFonts w:ascii="宋体" w:hAnsi="宋体" w:eastAsia="宋体" w:cs="宋体"/>
                <w:spacing w:val="1"/>
              </w:rPr>
              <w:t xml:space="preserve"> </w:t>
            </w:r>
            <w:r>
              <w:rPr>
                <w:spacing w:val="-2"/>
              </w:rPr>
              <w:t>/</w:t>
            </w:r>
            <w:r>
              <w:rPr>
                <w:rFonts w:ascii="宋体" w:hAnsi="宋体" w:eastAsia="宋体" w:cs="宋体"/>
                <w:spacing w:val="-2"/>
              </w:rPr>
              <w:t>乙醇含量（体积分数）</w:t>
            </w:r>
          </w:p>
        </w:tc>
        <w:tc>
          <w:tcPr>
            <w:tcW w:w="2126" w:type="dxa"/>
            <w:vAlign w:val="top"/>
          </w:tcPr>
          <w:p w14:paraId="693F3C9B">
            <w:pPr>
              <w:pStyle w:val="6"/>
              <w:spacing w:before="70" w:line="217"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17FFC0F0">
            <w:pPr>
              <w:spacing w:before="304" w:line="226" w:lineRule="auto"/>
              <w:ind w:left="312"/>
              <w:rPr>
                <w:rFonts w:ascii="宋体" w:hAnsi="宋体" w:eastAsia="宋体" w:cs="宋体"/>
                <w:sz w:val="21"/>
                <w:szCs w:val="21"/>
              </w:rPr>
            </w:pPr>
            <w:r>
              <w:rPr>
                <w:rFonts w:ascii="宋体" w:hAnsi="宋体" w:eastAsia="宋体" w:cs="宋体"/>
                <w:sz w:val="21"/>
                <w:szCs w:val="21"/>
              </w:rPr>
              <w:t>NB/SH/T 0663—2014</w:t>
            </w:r>
          </w:p>
        </w:tc>
      </w:tr>
      <w:tr w14:paraId="4B289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49" w:type="dxa"/>
            <w:vAlign w:val="top"/>
          </w:tcPr>
          <w:p w14:paraId="028BF153">
            <w:pPr>
              <w:spacing w:line="283" w:lineRule="auto"/>
              <w:rPr>
                <w:rFonts w:ascii="Arial"/>
                <w:sz w:val="21"/>
              </w:rPr>
            </w:pPr>
          </w:p>
          <w:p w14:paraId="36350E93">
            <w:pPr>
              <w:pStyle w:val="6"/>
              <w:spacing w:before="60" w:line="187" w:lineRule="auto"/>
              <w:ind w:left="346"/>
            </w:pPr>
            <w:r>
              <w:rPr>
                <w:spacing w:val="-13"/>
              </w:rPr>
              <w:t>11</w:t>
            </w:r>
          </w:p>
        </w:tc>
        <w:tc>
          <w:tcPr>
            <w:tcW w:w="3116" w:type="dxa"/>
            <w:vAlign w:val="top"/>
          </w:tcPr>
          <w:p w14:paraId="728AC659">
            <w:pPr>
              <w:spacing w:before="32" w:line="220" w:lineRule="auto"/>
              <w:ind w:left="112"/>
              <w:rPr>
                <w:rFonts w:ascii="宋体" w:hAnsi="宋体" w:eastAsia="宋体" w:cs="宋体"/>
                <w:sz w:val="21"/>
                <w:szCs w:val="21"/>
              </w:rPr>
            </w:pPr>
            <w:r>
              <w:rPr>
                <w:rFonts w:ascii="宋体" w:hAnsi="宋体" w:eastAsia="宋体" w:cs="宋体"/>
                <w:spacing w:val="-2"/>
                <w:sz w:val="21"/>
                <w:szCs w:val="21"/>
              </w:rPr>
              <w:t>氧含量（质量分数）</w:t>
            </w:r>
          </w:p>
          <w:p w14:paraId="0680640A">
            <w:pPr>
              <w:pStyle w:val="6"/>
              <w:spacing w:before="23" w:line="224" w:lineRule="auto"/>
              <w:ind w:left="111" w:right="102" w:hanging="8"/>
              <w:rPr>
                <w:rFonts w:ascii="宋体" w:hAnsi="宋体" w:eastAsia="宋体" w:cs="宋体"/>
              </w:rPr>
            </w:pPr>
            <w:r>
              <w:rPr>
                <w:spacing w:val="10"/>
              </w:rPr>
              <w:t xml:space="preserve">/  </w:t>
            </w:r>
            <w:r>
              <w:rPr>
                <w:rFonts w:ascii="宋体" w:hAnsi="宋体" w:eastAsia="宋体" w:cs="宋体"/>
                <w:spacing w:val="10"/>
              </w:rPr>
              <w:t>其他有机含氧化合物</w:t>
            </w:r>
            <w:r>
              <w:rPr>
                <w:spacing w:val="10"/>
              </w:rPr>
              <w:t>/</w:t>
            </w:r>
            <w:r>
              <w:rPr>
                <w:rFonts w:ascii="宋体" w:hAnsi="宋体" w:eastAsia="宋体" w:cs="宋体"/>
                <w:spacing w:val="10"/>
              </w:rPr>
              <w:t>有机含</w:t>
            </w:r>
            <w:r>
              <w:rPr>
                <w:rFonts w:ascii="宋体" w:hAnsi="宋体" w:eastAsia="宋体" w:cs="宋体"/>
                <w:spacing w:val="1"/>
              </w:rPr>
              <w:t xml:space="preserve"> </w:t>
            </w:r>
            <w:r>
              <w:rPr>
                <w:rFonts w:ascii="宋体" w:hAnsi="宋体" w:eastAsia="宋体" w:cs="宋体"/>
                <w:spacing w:val="-1"/>
              </w:rPr>
              <w:t>氧化合物（质量分数）</w:t>
            </w:r>
          </w:p>
        </w:tc>
        <w:tc>
          <w:tcPr>
            <w:tcW w:w="2126" w:type="dxa"/>
            <w:vAlign w:val="top"/>
          </w:tcPr>
          <w:p w14:paraId="4C75D940">
            <w:pPr>
              <w:pStyle w:val="6"/>
              <w:spacing w:before="72" w:line="218" w:lineRule="auto"/>
              <w:ind w:left="317" w:right="308"/>
              <w:jc w:val="both"/>
            </w:pPr>
            <w:r>
              <w:rPr>
                <w:spacing w:val="-3"/>
              </w:rPr>
              <w:t>GB</w:t>
            </w:r>
            <w:r>
              <w:rPr>
                <w:spacing w:val="31"/>
              </w:rPr>
              <w:t xml:space="preserve"> </w:t>
            </w:r>
            <w:r>
              <w:rPr>
                <w:spacing w:val="-3"/>
              </w:rPr>
              <w:t>17930</w:t>
            </w:r>
            <w:r>
              <w:rPr>
                <w:rFonts w:ascii="宋体" w:hAnsi="宋体" w:eastAsia="宋体" w:cs="宋体"/>
                <w:spacing w:val="-3"/>
              </w:rPr>
              <w:t>—</w:t>
            </w:r>
            <w:r>
              <w:rPr>
                <w:spacing w:val="-3"/>
              </w:rPr>
              <w:t>2016</w:t>
            </w:r>
            <w:r>
              <w:t xml:space="preserve"> </w:t>
            </w:r>
            <w:r>
              <w:rPr>
                <w:spacing w:val="-3"/>
              </w:rPr>
              <w:t>GB</w:t>
            </w:r>
            <w:r>
              <w:rPr>
                <w:spacing w:val="31"/>
              </w:rPr>
              <w:t xml:space="preserve"> </w:t>
            </w:r>
            <w:r>
              <w:rPr>
                <w:spacing w:val="-3"/>
              </w:rPr>
              <w:t>18351</w:t>
            </w:r>
            <w:r>
              <w:rPr>
                <w:rFonts w:ascii="宋体" w:hAnsi="宋体" w:eastAsia="宋体" w:cs="宋体"/>
                <w:spacing w:val="-3"/>
              </w:rPr>
              <w:t>—</w:t>
            </w:r>
            <w:r>
              <w:rPr>
                <w:spacing w:val="-3"/>
              </w:rPr>
              <w:t>2017</w:t>
            </w:r>
            <w:r>
              <w:t xml:space="preserve"> </w:t>
            </w:r>
            <w:r>
              <w:rPr>
                <w:spacing w:val="-1"/>
              </w:rPr>
              <w:t>GB 22030</w:t>
            </w:r>
            <w:r>
              <w:rPr>
                <w:rFonts w:ascii="宋体" w:hAnsi="宋体" w:eastAsia="宋体" w:cs="宋体"/>
                <w:spacing w:val="-1"/>
              </w:rPr>
              <w:t>—</w:t>
            </w:r>
            <w:r>
              <w:rPr>
                <w:spacing w:val="-1"/>
              </w:rPr>
              <w:t>2017</w:t>
            </w:r>
          </w:p>
        </w:tc>
        <w:tc>
          <w:tcPr>
            <w:tcW w:w="2519" w:type="dxa"/>
            <w:vAlign w:val="top"/>
          </w:tcPr>
          <w:p w14:paraId="47B72716">
            <w:pPr>
              <w:spacing w:before="306" w:line="226" w:lineRule="auto"/>
              <w:ind w:left="312"/>
              <w:rPr>
                <w:rFonts w:ascii="宋体" w:hAnsi="宋体" w:eastAsia="宋体" w:cs="宋体"/>
                <w:sz w:val="21"/>
                <w:szCs w:val="21"/>
              </w:rPr>
            </w:pPr>
            <w:r>
              <w:rPr>
                <w:rFonts w:ascii="宋体" w:hAnsi="宋体" w:eastAsia="宋体" w:cs="宋体"/>
                <w:sz w:val="21"/>
                <w:szCs w:val="21"/>
              </w:rPr>
              <w:t>NB/SH/T 0663—2014</w:t>
            </w:r>
          </w:p>
        </w:tc>
      </w:tr>
    </w:tbl>
    <w:p w14:paraId="75B89AE4">
      <w:pPr>
        <w:spacing w:line="269" w:lineRule="auto"/>
        <w:rPr>
          <w:rFonts w:ascii="Arial"/>
          <w:sz w:val="21"/>
        </w:rPr>
      </w:pPr>
    </w:p>
    <w:p w14:paraId="0944F7E7">
      <w:pPr>
        <w:spacing w:line="270" w:lineRule="auto"/>
        <w:rPr>
          <w:rFonts w:ascii="Arial"/>
          <w:sz w:val="21"/>
        </w:rPr>
      </w:pPr>
    </w:p>
    <w:p w14:paraId="596C0B2B">
      <w:pPr>
        <w:pStyle w:val="2"/>
        <w:spacing w:before="68" w:line="221" w:lineRule="auto"/>
        <w:ind w:left="2923"/>
      </w:pPr>
      <w:r>
        <w:rPr>
          <w:spacing w:val="13"/>
        </w:rPr>
        <w:t>表</w:t>
      </w:r>
      <w:r>
        <w:rPr>
          <w:spacing w:val="-32"/>
        </w:rPr>
        <w:t xml:space="preserve"> </w:t>
      </w:r>
      <w:r>
        <w:rPr>
          <w:spacing w:val="13"/>
        </w:rPr>
        <w:t>2 车用柴油(Ⅵ)检验项目</w:t>
      </w:r>
    </w:p>
    <w:p w14:paraId="3B54B424">
      <w:pPr>
        <w:spacing w:line="16" w:lineRule="exact"/>
      </w:pPr>
    </w:p>
    <w:tbl>
      <w:tblPr>
        <w:tblStyle w:val="5"/>
        <w:tblW w:w="7914" w:type="dxa"/>
        <w:tblInd w:w="3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692"/>
        <w:gridCol w:w="1842"/>
        <w:gridCol w:w="2454"/>
      </w:tblGrid>
      <w:tr w14:paraId="18528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26" w:type="dxa"/>
            <w:vAlign w:val="top"/>
          </w:tcPr>
          <w:p w14:paraId="16FC7AFB">
            <w:pPr>
              <w:spacing w:before="144" w:line="222" w:lineRule="auto"/>
              <w:ind w:left="256"/>
              <w:rPr>
                <w:rFonts w:ascii="宋体" w:hAnsi="宋体" w:eastAsia="宋体" w:cs="宋体"/>
                <w:sz w:val="21"/>
                <w:szCs w:val="21"/>
              </w:rPr>
            </w:pPr>
            <w:r>
              <w:rPr>
                <w:rFonts w:ascii="宋体" w:hAnsi="宋体" w:eastAsia="宋体" w:cs="宋体"/>
                <w:spacing w:val="-2"/>
                <w:sz w:val="21"/>
                <w:szCs w:val="21"/>
              </w:rPr>
              <w:t>序号</w:t>
            </w:r>
          </w:p>
        </w:tc>
        <w:tc>
          <w:tcPr>
            <w:tcW w:w="2692" w:type="dxa"/>
            <w:vAlign w:val="top"/>
          </w:tcPr>
          <w:p w14:paraId="5043407E">
            <w:pPr>
              <w:spacing w:before="144" w:line="221" w:lineRule="auto"/>
              <w:ind w:left="930"/>
              <w:rPr>
                <w:rFonts w:ascii="宋体" w:hAnsi="宋体" w:eastAsia="宋体" w:cs="宋体"/>
                <w:sz w:val="21"/>
                <w:szCs w:val="21"/>
              </w:rPr>
            </w:pPr>
            <w:r>
              <w:rPr>
                <w:rFonts w:ascii="宋体" w:hAnsi="宋体" w:eastAsia="宋体" w:cs="宋体"/>
                <w:spacing w:val="-2"/>
                <w:sz w:val="21"/>
                <w:szCs w:val="21"/>
              </w:rPr>
              <w:t>检验项目</w:t>
            </w:r>
          </w:p>
        </w:tc>
        <w:tc>
          <w:tcPr>
            <w:tcW w:w="1842" w:type="dxa"/>
            <w:vAlign w:val="top"/>
          </w:tcPr>
          <w:p w14:paraId="4D529880">
            <w:pPr>
              <w:spacing w:before="144" w:line="220" w:lineRule="auto"/>
              <w:ind w:left="506"/>
              <w:rPr>
                <w:rFonts w:ascii="宋体" w:hAnsi="宋体" w:eastAsia="宋体" w:cs="宋体"/>
                <w:sz w:val="21"/>
                <w:szCs w:val="21"/>
              </w:rPr>
            </w:pPr>
            <w:r>
              <w:rPr>
                <w:rFonts w:ascii="宋体" w:hAnsi="宋体" w:eastAsia="宋体" w:cs="宋体"/>
                <w:spacing w:val="-2"/>
                <w:sz w:val="21"/>
                <w:szCs w:val="21"/>
              </w:rPr>
              <w:t>检验依据</w:t>
            </w:r>
          </w:p>
        </w:tc>
        <w:tc>
          <w:tcPr>
            <w:tcW w:w="2454" w:type="dxa"/>
            <w:vAlign w:val="top"/>
          </w:tcPr>
          <w:p w14:paraId="175B0F05">
            <w:pPr>
              <w:spacing w:before="144" w:line="221" w:lineRule="auto"/>
              <w:ind w:left="810"/>
              <w:rPr>
                <w:rFonts w:ascii="宋体" w:hAnsi="宋体" w:eastAsia="宋体" w:cs="宋体"/>
                <w:sz w:val="21"/>
                <w:szCs w:val="21"/>
              </w:rPr>
            </w:pPr>
            <w:r>
              <w:rPr>
                <w:rFonts w:ascii="宋体" w:hAnsi="宋体" w:eastAsia="宋体" w:cs="宋体"/>
                <w:spacing w:val="-2"/>
                <w:sz w:val="21"/>
                <w:szCs w:val="21"/>
              </w:rPr>
              <w:t>检验方法</w:t>
            </w:r>
          </w:p>
        </w:tc>
      </w:tr>
      <w:tr w14:paraId="74BAD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26" w:type="dxa"/>
            <w:vAlign w:val="top"/>
          </w:tcPr>
          <w:p w14:paraId="2493D853">
            <w:pPr>
              <w:pStyle w:val="6"/>
              <w:spacing w:before="169" w:line="187" w:lineRule="auto"/>
              <w:ind w:left="432"/>
            </w:pPr>
            <w:r>
              <w:t>1</w:t>
            </w:r>
          </w:p>
        </w:tc>
        <w:tc>
          <w:tcPr>
            <w:tcW w:w="2692" w:type="dxa"/>
            <w:vAlign w:val="top"/>
          </w:tcPr>
          <w:p w14:paraId="337FDEB6">
            <w:pPr>
              <w:spacing w:before="145" w:line="221" w:lineRule="auto"/>
              <w:ind w:left="1032"/>
              <w:rPr>
                <w:rFonts w:ascii="宋体" w:hAnsi="宋体" w:eastAsia="宋体" w:cs="宋体"/>
                <w:sz w:val="21"/>
                <w:szCs w:val="21"/>
              </w:rPr>
            </w:pPr>
            <w:r>
              <w:rPr>
                <w:rFonts w:ascii="宋体" w:hAnsi="宋体" w:eastAsia="宋体" w:cs="宋体"/>
                <w:spacing w:val="-1"/>
                <w:sz w:val="21"/>
                <w:szCs w:val="21"/>
              </w:rPr>
              <w:t>硫含量</w:t>
            </w:r>
          </w:p>
        </w:tc>
        <w:tc>
          <w:tcPr>
            <w:tcW w:w="1842" w:type="dxa"/>
            <w:vAlign w:val="top"/>
          </w:tcPr>
          <w:p w14:paraId="7971E67B">
            <w:pPr>
              <w:pStyle w:val="6"/>
              <w:spacing w:before="169" w:line="179" w:lineRule="auto"/>
              <w:ind w:left="174"/>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2F4F4A24">
            <w:pPr>
              <w:spacing w:before="130" w:line="226" w:lineRule="auto"/>
              <w:ind w:left="444"/>
              <w:rPr>
                <w:rFonts w:ascii="宋体" w:hAnsi="宋体" w:eastAsia="宋体" w:cs="宋体"/>
                <w:sz w:val="21"/>
                <w:szCs w:val="21"/>
              </w:rPr>
            </w:pPr>
            <w:r>
              <w:rPr>
                <w:rFonts w:ascii="宋体" w:hAnsi="宋体" w:eastAsia="宋体" w:cs="宋体"/>
                <w:spacing w:val="-1"/>
                <w:sz w:val="21"/>
                <w:szCs w:val="21"/>
              </w:rPr>
              <w:t>SH/T 0689—2000</w:t>
            </w:r>
          </w:p>
        </w:tc>
      </w:tr>
      <w:tr w14:paraId="0015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26" w:type="dxa"/>
            <w:vAlign w:val="top"/>
          </w:tcPr>
          <w:p w14:paraId="428233C3">
            <w:pPr>
              <w:pStyle w:val="6"/>
              <w:spacing w:before="206" w:line="187" w:lineRule="auto"/>
              <w:ind w:left="412"/>
            </w:pPr>
            <w:r>
              <w:t>2</w:t>
            </w:r>
          </w:p>
        </w:tc>
        <w:tc>
          <w:tcPr>
            <w:tcW w:w="2692" w:type="dxa"/>
            <w:vAlign w:val="top"/>
          </w:tcPr>
          <w:p w14:paraId="6461E85F">
            <w:pPr>
              <w:spacing w:before="167" w:line="221" w:lineRule="auto"/>
              <w:jc w:val="right"/>
              <w:rPr>
                <w:rFonts w:ascii="宋体" w:hAnsi="宋体" w:eastAsia="宋体" w:cs="宋体"/>
                <w:sz w:val="21"/>
                <w:szCs w:val="21"/>
              </w:rPr>
            </w:pPr>
            <w:r>
              <w:rPr>
                <w:rFonts w:ascii="宋体" w:hAnsi="宋体" w:eastAsia="宋体" w:cs="宋体"/>
                <w:spacing w:val="-6"/>
                <w:sz w:val="21"/>
                <w:szCs w:val="21"/>
              </w:rPr>
              <w:t>10%蒸余物残炭（质量分数）</w:t>
            </w:r>
          </w:p>
        </w:tc>
        <w:tc>
          <w:tcPr>
            <w:tcW w:w="1842" w:type="dxa"/>
            <w:vAlign w:val="top"/>
          </w:tcPr>
          <w:p w14:paraId="3E7A3CA7">
            <w:pPr>
              <w:pStyle w:val="6"/>
              <w:spacing w:before="206" w:line="179" w:lineRule="auto"/>
              <w:ind w:left="112"/>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68239E39">
            <w:pPr>
              <w:spacing w:before="31" w:line="223" w:lineRule="auto"/>
              <w:ind w:left="388" w:right="383" w:firstLine="105"/>
              <w:rPr>
                <w:rFonts w:ascii="宋体" w:hAnsi="宋体" w:eastAsia="宋体" w:cs="宋体"/>
                <w:sz w:val="21"/>
                <w:szCs w:val="21"/>
              </w:rPr>
            </w:pPr>
            <w:r>
              <w:rPr>
                <w:rFonts w:ascii="宋体" w:hAnsi="宋体" w:eastAsia="宋体" w:cs="宋体"/>
                <w:spacing w:val="-1"/>
                <w:sz w:val="21"/>
                <w:szCs w:val="21"/>
              </w:rPr>
              <w:t>GB/T 268—1987</w:t>
            </w:r>
            <w:r>
              <w:rPr>
                <w:rFonts w:ascii="宋体" w:hAnsi="宋体" w:eastAsia="宋体" w:cs="宋体"/>
                <w:spacing w:val="5"/>
                <w:sz w:val="21"/>
                <w:szCs w:val="21"/>
              </w:rPr>
              <w:t xml:space="preserve">  </w:t>
            </w:r>
            <w:r>
              <w:rPr>
                <w:rFonts w:ascii="宋体" w:hAnsi="宋体" w:eastAsia="宋体" w:cs="宋体"/>
                <w:spacing w:val="-2"/>
                <w:sz w:val="21"/>
                <w:szCs w:val="21"/>
              </w:rPr>
              <w:t>GB/T</w:t>
            </w:r>
            <w:r>
              <w:rPr>
                <w:rFonts w:ascii="宋体" w:hAnsi="宋体" w:eastAsia="宋体" w:cs="宋体"/>
                <w:spacing w:val="24"/>
                <w:sz w:val="21"/>
                <w:szCs w:val="21"/>
              </w:rPr>
              <w:t xml:space="preserve"> </w:t>
            </w:r>
            <w:r>
              <w:rPr>
                <w:rFonts w:ascii="宋体" w:hAnsi="宋体" w:eastAsia="宋体" w:cs="宋体"/>
                <w:spacing w:val="-2"/>
                <w:sz w:val="21"/>
                <w:szCs w:val="21"/>
              </w:rPr>
              <w:t>17144—2021</w:t>
            </w:r>
          </w:p>
        </w:tc>
      </w:tr>
      <w:tr w14:paraId="0DBE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26" w:type="dxa"/>
            <w:vAlign w:val="top"/>
          </w:tcPr>
          <w:p w14:paraId="37957484">
            <w:pPr>
              <w:pStyle w:val="6"/>
              <w:spacing w:before="144" w:line="187" w:lineRule="auto"/>
              <w:ind w:left="416"/>
            </w:pPr>
            <w:r>
              <w:t>3</w:t>
            </w:r>
          </w:p>
        </w:tc>
        <w:tc>
          <w:tcPr>
            <w:tcW w:w="2692" w:type="dxa"/>
            <w:vAlign w:val="top"/>
          </w:tcPr>
          <w:p w14:paraId="0FCDA0E6">
            <w:pPr>
              <w:spacing w:before="105" w:line="221" w:lineRule="auto"/>
              <w:ind w:left="511"/>
              <w:rPr>
                <w:rFonts w:ascii="宋体" w:hAnsi="宋体" w:eastAsia="宋体" w:cs="宋体"/>
                <w:sz w:val="21"/>
                <w:szCs w:val="21"/>
              </w:rPr>
            </w:pPr>
            <w:r>
              <w:rPr>
                <w:rFonts w:ascii="宋体" w:hAnsi="宋体" w:eastAsia="宋体" w:cs="宋体"/>
                <w:spacing w:val="-1"/>
                <w:sz w:val="21"/>
                <w:szCs w:val="21"/>
              </w:rPr>
              <w:t>灰分（质量分数）</w:t>
            </w:r>
          </w:p>
        </w:tc>
        <w:tc>
          <w:tcPr>
            <w:tcW w:w="1842" w:type="dxa"/>
            <w:vAlign w:val="top"/>
          </w:tcPr>
          <w:p w14:paraId="48D89D40">
            <w:pPr>
              <w:pStyle w:val="6"/>
              <w:spacing w:before="144" w:line="179" w:lineRule="auto"/>
              <w:ind w:left="174"/>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632C1C28">
            <w:pPr>
              <w:spacing w:before="105" w:line="226" w:lineRule="auto"/>
              <w:ind w:left="493"/>
              <w:rPr>
                <w:rFonts w:ascii="宋体" w:hAnsi="宋体" w:eastAsia="宋体" w:cs="宋体"/>
                <w:sz w:val="21"/>
                <w:szCs w:val="21"/>
              </w:rPr>
            </w:pPr>
            <w:r>
              <w:rPr>
                <w:rFonts w:ascii="宋体" w:hAnsi="宋体" w:eastAsia="宋体" w:cs="宋体"/>
                <w:spacing w:val="-2"/>
                <w:sz w:val="21"/>
                <w:szCs w:val="21"/>
              </w:rPr>
              <w:t>GB/T</w:t>
            </w:r>
            <w:r>
              <w:rPr>
                <w:rFonts w:ascii="宋体" w:hAnsi="宋体" w:eastAsia="宋体" w:cs="宋体"/>
                <w:spacing w:val="21"/>
                <w:sz w:val="21"/>
                <w:szCs w:val="21"/>
              </w:rPr>
              <w:t xml:space="preserve"> </w:t>
            </w:r>
            <w:r>
              <w:rPr>
                <w:rFonts w:ascii="宋体" w:hAnsi="宋体" w:eastAsia="宋体" w:cs="宋体"/>
                <w:spacing w:val="-2"/>
                <w:sz w:val="21"/>
                <w:szCs w:val="21"/>
              </w:rPr>
              <w:t>508—1985</w:t>
            </w:r>
          </w:p>
        </w:tc>
      </w:tr>
      <w:tr w14:paraId="5CBB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26" w:type="dxa"/>
            <w:vAlign w:val="top"/>
          </w:tcPr>
          <w:p w14:paraId="636EC3DD">
            <w:pPr>
              <w:pStyle w:val="6"/>
              <w:spacing w:before="212" w:line="187" w:lineRule="auto"/>
              <w:ind w:left="411"/>
            </w:pPr>
            <w:r>
              <w:t>4</w:t>
            </w:r>
          </w:p>
        </w:tc>
        <w:tc>
          <w:tcPr>
            <w:tcW w:w="2692" w:type="dxa"/>
            <w:vAlign w:val="top"/>
          </w:tcPr>
          <w:p w14:paraId="25B10A23">
            <w:pPr>
              <w:spacing w:before="173" w:line="218" w:lineRule="auto"/>
              <w:ind w:left="351"/>
              <w:rPr>
                <w:rFonts w:ascii="宋体" w:hAnsi="宋体" w:eastAsia="宋体" w:cs="宋体"/>
                <w:sz w:val="21"/>
                <w:szCs w:val="21"/>
              </w:rPr>
            </w:pPr>
            <w:r>
              <w:rPr>
                <w:rFonts w:ascii="宋体" w:hAnsi="宋体" w:eastAsia="宋体" w:cs="宋体"/>
                <w:spacing w:val="-1"/>
                <w:sz w:val="21"/>
                <w:szCs w:val="21"/>
              </w:rPr>
              <w:t>铜片腐蚀（50℃,3h）</w:t>
            </w:r>
          </w:p>
        </w:tc>
        <w:tc>
          <w:tcPr>
            <w:tcW w:w="1842" w:type="dxa"/>
            <w:vAlign w:val="top"/>
          </w:tcPr>
          <w:p w14:paraId="3EB418C3">
            <w:pPr>
              <w:pStyle w:val="6"/>
              <w:spacing w:before="212" w:line="179" w:lineRule="auto"/>
              <w:ind w:left="174"/>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19E6DDBF">
            <w:pPr>
              <w:spacing w:before="173" w:line="226" w:lineRule="auto"/>
              <w:ind w:left="440"/>
              <w:rPr>
                <w:rFonts w:ascii="宋体" w:hAnsi="宋体" w:eastAsia="宋体" w:cs="宋体"/>
                <w:sz w:val="21"/>
                <w:szCs w:val="21"/>
              </w:rPr>
            </w:pPr>
            <w:r>
              <w:rPr>
                <w:rFonts w:ascii="宋体" w:hAnsi="宋体" w:eastAsia="宋体" w:cs="宋体"/>
                <w:spacing w:val="-1"/>
                <w:sz w:val="21"/>
                <w:szCs w:val="21"/>
              </w:rPr>
              <w:t>GB/T 5096—2017</w:t>
            </w:r>
          </w:p>
        </w:tc>
      </w:tr>
      <w:tr w14:paraId="50377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6" w:type="dxa"/>
            <w:vAlign w:val="top"/>
          </w:tcPr>
          <w:p w14:paraId="019A04D1">
            <w:pPr>
              <w:pStyle w:val="6"/>
              <w:spacing w:before="211" w:line="184" w:lineRule="auto"/>
              <w:ind w:left="417"/>
            </w:pPr>
            <w:r>
              <w:t>5</w:t>
            </w:r>
          </w:p>
        </w:tc>
        <w:tc>
          <w:tcPr>
            <w:tcW w:w="2692" w:type="dxa"/>
            <w:vAlign w:val="top"/>
          </w:tcPr>
          <w:p w14:paraId="3EFC3CF0">
            <w:pPr>
              <w:spacing w:before="169" w:line="221" w:lineRule="auto"/>
              <w:ind w:left="406"/>
              <w:rPr>
                <w:rFonts w:ascii="宋体" w:hAnsi="宋体" w:eastAsia="宋体" w:cs="宋体"/>
                <w:sz w:val="21"/>
                <w:szCs w:val="21"/>
              </w:rPr>
            </w:pPr>
            <w:r>
              <w:rPr>
                <w:rFonts w:ascii="宋体" w:hAnsi="宋体" w:eastAsia="宋体" w:cs="宋体"/>
                <w:spacing w:val="-2"/>
                <w:sz w:val="21"/>
                <w:szCs w:val="21"/>
              </w:rPr>
              <w:t>水含量（体积分数）</w:t>
            </w:r>
          </w:p>
        </w:tc>
        <w:tc>
          <w:tcPr>
            <w:tcW w:w="1842" w:type="dxa"/>
            <w:vAlign w:val="top"/>
          </w:tcPr>
          <w:p w14:paraId="75D3C46E">
            <w:pPr>
              <w:pStyle w:val="6"/>
              <w:spacing w:before="208" w:line="179" w:lineRule="auto"/>
              <w:ind w:left="112"/>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5B40B6EC">
            <w:pPr>
              <w:spacing w:before="34" w:line="223" w:lineRule="auto"/>
              <w:ind w:left="1061" w:right="486" w:hanging="568"/>
              <w:rPr>
                <w:rFonts w:ascii="宋体" w:hAnsi="宋体" w:eastAsia="宋体" w:cs="宋体"/>
                <w:sz w:val="21"/>
                <w:szCs w:val="21"/>
              </w:rPr>
            </w:pPr>
            <w:r>
              <w:rPr>
                <w:rFonts w:ascii="宋体" w:hAnsi="宋体" w:eastAsia="宋体" w:cs="宋体"/>
                <w:spacing w:val="-1"/>
                <w:sz w:val="21"/>
                <w:szCs w:val="21"/>
              </w:rPr>
              <w:t>GB/T 260—2016</w:t>
            </w:r>
            <w:r>
              <w:rPr>
                <w:rFonts w:ascii="宋体" w:hAnsi="宋体" w:eastAsia="宋体" w:cs="宋体"/>
                <w:spacing w:val="10"/>
                <w:sz w:val="21"/>
                <w:szCs w:val="21"/>
              </w:rPr>
              <w:t xml:space="preserve"> </w:t>
            </w:r>
            <w:r>
              <w:rPr>
                <w:rFonts w:ascii="宋体" w:hAnsi="宋体" w:eastAsia="宋体" w:cs="宋体"/>
                <w:spacing w:val="-12"/>
                <w:sz w:val="21"/>
                <w:szCs w:val="21"/>
              </w:rPr>
              <w:t>目测</w:t>
            </w:r>
          </w:p>
        </w:tc>
      </w:tr>
      <w:tr w14:paraId="11F07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26" w:type="dxa"/>
            <w:vAlign w:val="top"/>
          </w:tcPr>
          <w:p w14:paraId="64686689">
            <w:pPr>
              <w:pStyle w:val="6"/>
              <w:spacing w:before="148" w:line="187" w:lineRule="auto"/>
              <w:ind w:left="416"/>
            </w:pPr>
            <w:r>
              <w:t>6</w:t>
            </w:r>
          </w:p>
        </w:tc>
        <w:tc>
          <w:tcPr>
            <w:tcW w:w="2692" w:type="dxa"/>
            <w:vAlign w:val="top"/>
          </w:tcPr>
          <w:p w14:paraId="2CF0BE44">
            <w:pPr>
              <w:spacing w:before="110" w:line="221" w:lineRule="auto"/>
              <w:ind w:left="509"/>
              <w:rPr>
                <w:rFonts w:ascii="宋体" w:hAnsi="宋体" w:eastAsia="宋体" w:cs="宋体"/>
                <w:sz w:val="21"/>
                <w:szCs w:val="21"/>
              </w:rPr>
            </w:pPr>
            <w:r>
              <w:rPr>
                <w:rFonts w:ascii="宋体" w:hAnsi="宋体" w:eastAsia="宋体" w:cs="宋体"/>
                <w:spacing w:val="-1"/>
                <w:sz w:val="21"/>
                <w:szCs w:val="21"/>
              </w:rPr>
              <w:t>运动黏度（20℃)</w:t>
            </w:r>
          </w:p>
        </w:tc>
        <w:tc>
          <w:tcPr>
            <w:tcW w:w="1842" w:type="dxa"/>
            <w:vAlign w:val="top"/>
          </w:tcPr>
          <w:p w14:paraId="65CB8B57">
            <w:pPr>
              <w:pStyle w:val="6"/>
              <w:spacing w:before="148" w:line="179" w:lineRule="auto"/>
              <w:ind w:left="174"/>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302CF6BF">
            <w:pPr>
              <w:spacing w:before="109" w:line="226" w:lineRule="auto"/>
              <w:ind w:left="493"/>
              <w:rPr>
                <w:rFonts w:ascii="宋体" w:hAnsi="宋体" w:eastAsia="宋体" w:cs="宋体"/>
                <w:sz w:val="21"/>
                <w:szCs w:val="21"/>
              </w:rPr>
            </w:pPr>
            <w:r>
              <w:rPr>
                <w:rFonts w:ascii="宋体" w:hAnsi="宋体" w:eastAsia="宋体" w:cs="宋体"/>
                <w:spacing w:val="-1"/>
                <w:sz w:val="21"/>
                <w:szCs w:val="21"/>
              </w:rPr>
              <w:t>GB/T 265—1988</w:t>
            </w:r>
          </w:p>
        </w:tc>
      </w:tr>
      <w:tr w14:paraId="69ED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26" w:type="dxa"/>
            <w:vAlign w:val="top"/>
          </w:tcPr>
          <w:p w14:paraId="636EEFBC">
            <w:pPr>
              <w:pStyle w:val="6"/>
              <w:spacing w:before="148" w:line="184" w:lineRule="auto"/>
              <w:ind w:left="415"/>
            </w:pPr>
            <w:r>
              <w:t>7</w:t>
            </w:r>
          </w:p>
        </w:tc>
        <w:tc>
          <w:tcPr>
            <w:tcW w:w="2692" w:type="dxa"/>
            <w:vAlign w:val="top"/>
          </w:tcPr>
          <w:p w14:paraId="0AC616E5">
            <w:pPr>
              <w:spacing w:before="106" w:line="223" w:lineRule="auto"/>
              <w:ind w:left="1035"/>
              <w:rPr>
                <w:rFonts w:ascii="宋体" w:hAnsi="宋体" w:eastAsia="宋体" w:cs="宋体"/>
                <w:sz w:val="21"/>
                <w:szCs w:val="21"/>
              </w:rPr>
            </w:pPr>
            <w:r>
              <w:rPr>
                <w:rFonts w:ascii="宋体" w:hAnsi="宋体" w:eastAsia="宋体" w:cs="宋体"/>
                <w:spacing w:val="-2"/>
                <w:sz w:val="21"/>
                <w:szCs w:val="21"/>
              </w:rPr>
              <w:t>冷滤点</w:t>
            </w:r>
          </w:p>
        </w:tc>
        <w:tc>
          <w:tcPr>
            <w:tcW w:w="1842" w:type="dxa"/>
            <w:vAlign w:val="top"/>
          </w:tcPr>
          <w:p w14:paraId="59F616D4">
            <w:pPr>
              <w:pStyle w:val="6"/>
              <w:spacing w:before="145" w:line="179" w:lineRule="auto"/>
              <w:ind w:left="174"/>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00AF1A06">
            <w:pPr>
              <w:spacing w:before="106" w:line="226" w:lineRule="auto"/>
              <w:ind w:left="278"/>
              <w:rPr>
                <w:rFonts w:ascii="宋体" w:hAnsi="宋体" w:eastAsia="宋体" w:cs="宋体"/>
                <w:sz w:val="21"/>
                <w:szCs w:val="21"/>
              </w:rPr>
            </w:pPr>
            <w:r>
              <w:rPr>
                <w:rFonts w:ascii="宋体" w:hAnsi="宋体" w:eastAsia="宋体" w:cs="宋体"/>
                <w:sz w:val="21"/>
                <w:szCs w:val="21"/>
              </w:rPr>
              <w:t>NB/SH/T 0248—2019</w:t>
            </w:r>
          </w:p>
        </w:tc>
      </w:tr>
      <w:tr w14:paraId="4FC1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26" w:type="dxa"/>
            <w:vAlign w:val="top"/>
          </w:tcPr>
          <w:p w14:paraId="2FE7DF42">
            <w:pPr>
              <w:pStyle w:val="6"/>
              <w:spacing w:before="213" w:line="187" w:lineRule="auto"/>
              <w:ind w:left="420"/>
            </w:pPr>
            <w:r>
              <w:t>8</w:t>
            </w:r>
          </w:p>
        </w:tc>
        <w:tc>
          <w:tcPr>
            <w:tcW w:w="2692" w:type="dxa"/>
            <w:vAlign w:val="top"/>
          </w:tcPr>
          <w:p w14:paraId="40689CCA">
            <w:pPr>
              <w:spacing w:before="172" w:line="221" w:lineRule="auto"/>
              <w:ind w:left="737"/>
              <w:rPr>
                <w:rFonts w:ascii="宋体" w:hAnsi="宋体" w:eastAsia="宋体" w:cs="宋体"/>
                <w:sz w:val="21"/>
                <w:szCs w:val="21"/>
              </w:rPr>
            </w:pPr>
            <w:r>
              <w:rPr>
                <w:rFonts w:ascii="宋体" w:hAnsi="宋体" w:eastAsia="宋体" w:cs="宋体"/>
                <w:spacing w:val="-4"/>
                <w:sz w:val="21"/>
                <w:szCs w:val="21"/>
              </w:rPr>
              <w:t>闪点（闭口）</w:t>
            </w:r>
          </w:p>
        </w:tc>
        <w:tc>
          <w:tcPr>
            <w:tcW w:w="1842" w:type="dxa"/>
            <w:vAlign w:val="top"/>
          </w:tcPr>
          <w:p w14:paraId="52BD94DB">
            <w:pPr>
              <w:pStyle w:val="6"/>
              <w:spacing w:before="211" w:line="179" w:lineRule="auto"/>
              <w:ind w:left="112"/>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1F679668">
            <w:pPr>
              <w:spacing w:before="172" w:line="226" w:lineRule="auto"/>
              <w:ind w:left="493"/>
              <w:rPr>
                <w:rFonts w:ascii="宋体" w:hAnsi="宋体" w:eastAsia="宋体" w:cs="宋体"/>
                <w:sz w:val="21"/>
                <w:szCs w:val="21"/>
              </w:rPr>
            </w:pPr>
            <w:r>
              <w:rPr>
                <w:rFonts w:ascii="宋体" w:hAnsi="宋体" w:eastAsia="宋体" w:cs="宋体"/>
                <w:spacing w:val="-1"/>
                <w:sz w:val="21"/>
                <w:szCs w:val="21"/>
              </w:rPr>
              <w:t>GB/T 261—2021</w:t>
            </w:r>
          </w:p>
        </w:tc>
      </w:tr>
      <w:tr w14:paraId="163B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6" w:type="dxa"/>
            <w:vAlign w:val="top"/>
          </w:tcPr>
          <w:p w14:paraId="2503A173">
            <w:pPr>
              <w:pStyle w:val="6"/>
              <w:spacing w:before="209" w:line="187" w:lineRule="auto"/>
              <w:ind w:left="416"/>
            </w:pPr>
            <w:r>
              <w:t>9</w:t>
            </w:r>
          </w:p>
        </w:tc>
        <w:tc>
          <w:tcPr>
            <w:tcW w:w="2692" w:type="dxa"/>
            <w:vAlign w:val="top"/>
          </w:tcPr>
          <w:p w14:paraId="0961663E">
            <w:pPr>
              <w:spacing w:before="170" w:line="221" w:lineRule="auto"/>
              <w:ind w:left="825"/>
              <w:rPr>
                <w:rFonts w:ascii="宋体" w:hAnsi="宋体" w:eastAsia="宋体" w:cs="宋体"/>
                <w:sz w:val="21"/>
                <w:szCs w:val="21"/>
              </w:rPr>
            </w:pPr>
            <w:r>
              <w:rPr>
                <w:rFonts w:ascii="宋体" w:hAnsi="宋体" w:eastAsia="宋体" w:cs="宋体"/>
                <w:spacing w:val="-2"/>
                <w:sz w:val="21"/>
                <w:szCs w:val="21"/>
              </w:rPr>
              <w:t>十六烷指数</w:t>
            </w:r>
          </w:p>
        </w:tc>
        <w:tc>
          <w:tcPr>
            <w:tcW w:w="1842" w:type="dxa"/>
            <w:vAlign w:val="top"/>
          </w:tcPr>
          <w:p w14:paraId="54DD8033">
            <w:pPr>
              <w:pStyle w:val="6"/>
              <w:spacing w:before="209" w:line="179" w:lineRule="auto"/>
              <w:ind w:left="112"/>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78CE4657">
            <w:pPr>
              <w:spacing w:before="35" w:line="222" w:lineRule="auto"/>
              <w:ind w:left="388" w:right="383" w:firstLine="56"/>
              <w:rPr>
                <w:rFonts w:ascii="宋体" w:hAnsi="宋体" w:eastAsia="宋体" w:cs="宋体"/>
                <w:sz w:val="21"/>
                <w:szCs w:val="21"/>
              </w:rPr>
            </w:pPr>
            <w:r>
              <w:rPr>
                <w:rFonts w:ascii="宋体" w:hAnsi="宋体" w:eastAsia="宋体" w:cs="宋体"/>
                <w:spacing w:val="-1"/>
                <w:sz w:val="21"/>
                <w:szCs w:val="21"/>
              </w:rPr>
              <w:t>SH/T 0694—2000</w:t>
            </w:r>
            <w:r>
              <w:rPr>
                <w:rFonts w:ascii="宋体" w:hAnsi="宋体" w:eastAsia="宋体" w:cs="宋体"/>
                <w:spacing w:val="6"/>
                <w:sz w:val="21"/>
                <w:szCs w:val="21"/>
              </w:rPr>
              <w:t xml:space="preserve"> </w:t>
            </w:r>
            <w:r>
              <w:rPr>
                <w:rFonts w:ascii="宋体" w:hAnsi="宋体" w:eastAsia="宋体" w:cs="宋体"/>
                <w:spacing w:val="-2"/>
                <w:sz w:val="21"/>
                <w:szCs w:val="21"/>
              </w:rPr>
              <w:t>GB/T</w:t>
            </w:r>
            <w:r>
              <w:rPr>
                <w:rFonts w:ascii="宋体" w:hAnsi="宋体" w:eastAsia="宋体" w:cs="宋体"/>
                <w:spacing w:val="24"/>
                <w:sz w:val="21"/>
                <w:szCs w:val="21"/>
              </w:rPr>
              <w:t xml:space="preserve"> </w:t>
            </w:r>
            <w:r>
              <w:rPr>
                <w:rFonts w:ascii="宋体" w:hAnsi="宋体" w:eastAsia="宋体" w:cs="宋体"/>
                <w:spacing w:val="-2"/>
                <w:sz w:val="21"/>
                <w:szCs w:val="21"/>
              </w:rPr>
              <w:t>11139—1989</w:t>
            </w:r>
          </w:p>
        </w:tc>
      </w:tr>
      <w:tr w14:paraId="1FAF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26" w:type="dxa"/>
            <w:vAlign w:val="top"/>
          </w:tcPr>
          <w:p w14:paraId="6C8DE00C">
            <w:pPr>
              <w:pStyle w:val="6"/>
              <w:spacing w:before="222" w:line="187" w:lineRule="auto"/>
              <w:ind w:left="379"/>
            </w:pPr>
            <w:r>
              <w:rPr>
                <w:spacing w:val="-6"/>
              </w:rPr>
              <w:t>10</w:t>
            </w:r>
          </w:p>
        </w:tc>
        <w:tc>
          <w:tcPr>
            <w:tcW w:w="2692" w:type="dxa"/>
            <w:vAlign w:val="top"/>
          </w:tcPr>
          <w:p w14:paraId="6173D620">
            <w:pPr>
              <w:spacing w:before="183" w:line="221" w:lineRule="auto"/>
              <w:ind w:left="1138"/>
              <w:rPr>
                <w:rFonts w:ascii="宋体" w:hAnsi="宋体" w:eastAsia="宋体" w:cs="宋体"/>
                <w:sz w:val="21"/>
                <w:szCs w:val="21"/>
              </w:rPr>
            </w:pPr>
            <w:r>
              <w:rPr>
                <w:rFonts w:ascii="宋体" w:hAnsi="宋体" w:eastAsia="宋体" w:cs="宋体"/>
                <w:spacing w:val="-2"/>
                <w:sz w:val="21"/>
                <w:szCs w:val="21"/>
              </w:rPr>
              <w:t>馏程</w:t>
            </w:r>
          </w:p>
        </w:tc>
        <w:tc>
          <w:tcPr>
            <w:tcW w:w="1842" w:type="dxa"/>
            <w:vAlign w:val="top"/>
          </w:tcPr>
          <w:p w14:paraId="69B42B51">
            <w:pPr>
              <w:pStyle w:val="6"/>
              <w:spacing w:before="222" w:line="179" w:lineRule="auto"/>
              <w:ind w:left="112"/>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1219339E">
            <w:pPr>
              <w:spacing w:before="183" w:line="226" w:lineRule="auto"/>
              <w:ind w:left="440"/>
              <w:rPr>
                <w:rFonts w:ascii="宋体" w:hAnsi="宋体" w:eastAsia="宋体" w:cs="宋体"/>
                <w:sz w:val="21"/>
                <w:szCs w:val="21"/>
              </w:rPr>
            </w:pPr>
            <w:r>
              <w:rPr>
                <w:rFonts w:ascii="宋体" w:hAnsi="宋体" w:eastAsia="宋体" w:cs="宋体"/>
                <w:spacing w:val="-1"/>
                <w:sz w:val="21"/>
                <w:szCs w:val="21"/>
              </w:rPr>
              <w:t>GB/T 6536—2010</w:t>
            </w:r>
          </w:p>
        </w:tc>
      </w:tr>
      <w:tr w14:paraId="52384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926" w:type="dxa"/>
            <w:vAlign w:val="top"/>
          </w:tcPr>
          <w:p w14:paraId="18F52C0A">
            <w:pPr>
              <w:spacing w:line="285" w:lineRule="auto"/>
              <w:rPr>
                <w:rFonts w:ascii="Arial"/>
                <w:sz w:val="21"/>
              </w:rPr>
            </w:pPr>
          </w:p>
          <w:p w14:paraId="59B2E784">
            <w:pPr>
              <w:pStyle w:val="6"/>
              <w:spacing w:before="61" w:line="187" w:lineRule="auto"/>
              <w:ind w:left="384"/>
            </w:pPr>
            <w:r>
              <w:rPr>
                <w:spacing w:val="-8"/>
              </w:rPr>
              <w:t>11</w:t>
            </w:r>
          </w:p>
        </w:tc>
        <w:tc>
          <w:tcPr>
            <w:tcW w:w="2692" w:type="dxa"/>
            <w:vAlign w:val="top"/>
          </w:tcPr>
          <w:p w14:paraId="5FA7E9CB">
            <w:pPr>
              <w:spacing w:before="307" w:line="221" w:lineRule="auto"/>
              <w:ind w:left="719"/>
              <w:rPr>
                <w:rFonts w:ascii="宋体" w:hAnsi="宋体" w:eastAsia="宋体" w:cs="宋体"/>
                <w:sz w:val="21"/>
                <w:szCs w:val="21"/>
              </w:rPr>
            </w:pPr>
            <w:r>
              <w:rPr>
                <w:rFonts w:ascii="宋体" w:hAnsi="宋体" w:eastAsia="宋体" w:cs="宋体"/>
                <w:spacing w:val="-3"/>
                <w:sz w:val="21"/>
                <w:szCs w:val="21"/>
              </w:rPr>
              <w:t>密度（20℃)</w:t>
            </w:r>
          </w:p>
        </w:tc>
        <w:tc>
          <w:tcPr>
            <w:tcW w:w="1842" w:type="dxa"/>
            <w:vAlign w:val="top"/>
          </w:tcPr>
          <w:p w14:paraId="4D91FB7A">
            <w:pPr>
              <w:spacing w:line="275" w:lineRule="auto"/>
              <w:rPr>
                <w:rFonts w:ascii="Arial"/>
                <w:sz w:val="21"/>
              </w:rPr>
            </w:pPr>
          </w:p>
          <w:p w14:paraId="317C21AC">
            <w:pPr>
              <w:pStyle w:val="6"/>
              <w:spacing w:before="68" w:line="179" w:lineRule="auto"/>
              <w:ind w:left="112"/>
            </w:pPr>
            <w:r>
              <w:rPr>
                <w:spacing w:val="-3"/>
              </w:rPr>
              <w:t>GB</w:t>
            </w:r>
            <w:r>
              <w:rPr>
                <w:spacing w:val="31"/>
              </w:rPr>
              <w:t xml:space="preserve"> </w:t>
            </w:r>
            <w:r>
              <w:rPr>
                <w:spacing w:val="-3"/>
              </w:rPr>
              <w:t>19147</w:t>
            </w:r>
            <w:r>
              <w:rPr>
                <w:rFonts w:ascii="宋体" w:hAnsi="宋体" w:eastAsia="宋体" w:cs="宋体"/>
                <w:spacing w:val="-3"/>
              </w:rPr>
              <w:t>—</w:t>
            </w:r>
            <w:r>
              <w:rPr>
                <w:spacing w:val="-3"/>
              </w:rPr>
              <w:t>2016</w:t>
            </w:r>
          </w:p>
        </w:tc>
        <w:tc>
          <w:tcPr>
            <w:tcW w:w="2454" w:type="dxa"/>
            <w:vAlign w:val="top"/>
          </w:tcPr>
          <w:p w14:paraId="5398410D">
            <w:pPr>
              <w:spacing w:before="36" w:line="229" w:lineRule="auto"/>
              <w:ind w:left="440" w:right="436"/>
              <w:jc w:val="both"/>
              <w:rPr>
                <w:rFonts w:ascii="宋体" w:hAnsi="宋体" w:eastAsia="宋体" w:cs="宋体"/>
                <w:sz w:val="21"/>
                <w:szCs w:val="21"/>
              </w:rPr>
            </w:pPr>
            <w:r>
              <w:rPr>
                <w:rFonts w:ascii="宋体" w:hAnsi="宋体" w:eastAsia="宋体" w:cs="宋体"/>
                <w:spacing w:val="-3"/>
                <w:sz w:val="21"/>
                <w:szCs w:val="21"/>
              </w:rPr>
              <w:t>GB/T</w:t>
            </w:r>
            <w:r>
              <w:rPr>
                <w:rFonts w:ascii="宋体" w:hAnsi="宋体" w:eastAsia="宋体" w:cs="宋体"/>
                <w:spacing w:val="34"/>
                <w:sz w:val="21"/>
                <w:szCs w:val="21"/>
              </w:rPr>
              <w:t xml:space="preserve"> </w:t>
            </w:r>
            <w:r>
              <w:rPr>
                <w:rFonts w:ascii="宋体" w:hAnsi="宋体" w:eastAsia="宋体" w:cs="宋体"/>
                <w:spacing w:val="-3"/>
                <w:sz w:val="21"/>
                <w:szCs w:val="21"/>
              </w:rPr>
              <w:t>1884—2000</w:t>
            </w:r>
            <w:r>
              <w:rPr>
                <w:rFonts w:ascii="宋体" w:hAnsi="宋体" w:eastAsia="宋体" w:cs="宋体"/>
                <w:sz w:val="21"/>
                <w:szCs w:val="21"/>
              </w:rPr>
              <w:t xml:space="preserve"> </w:t>
            </w:r>
            <w:r>
              <w:rPr>
                <w:rFonts w:ascii="宋体" w:hAnsi="宋体" w:eastAsia="宋体" w:cs="宋体"/>
                <w:spacing w:val="-3"/>
                <w:sz w:val="21"/>
                <w:szCs w:val="21"/>
              </w:rPr>
              <w:t>GB/T</w:t>
            </w:r>
            <w:r>
              <w:rPr>
                <w:rFonts w:ascii="宋体" w:hAnsi="宋体" w:eastAsia="宋体" w:cs="宋体"/>
                <w:spacing w:val="34"/>
                <w:sz w:val="21"/>
                <w:szCs w:val="21"/>
              </w:rPr>
              <w:t xml:space="preserve"> </w:t>
            </w:r>
            <w:r>
              <w:rPr>
                <w:rFonts w:ascii="宋体" w:hAnsi="宋体" w:eastAsia="宋体" w:cs="宋体"/>
                <w:spacing w:val="-3"/>
                <w:sz w:val="21"/>
                <w:szCs w:val="21"/>
              </w:rPr>
              <w:t>1885—1998</w:t>
            </w:r>
            <w:r>
              <w:rPr>
                <w:rFonts w:ascii="宋体" w:hAnsi="宋体" w:eastAsia="宋体" w:cs="宋体"/>
                <w:sz w:val="21"/>
                <w:szCs w:val="21"/>
              </w:rPr>
              <w:t xml:space="preserve"> </w:t>
            </w:r>
            <w:r>
              <w:rPr>
                <w:rFonts w:ascii="宋体" w:hAnsi="宋体" w:eastAsia="宋体" w:cs="宋体"/>
                <w:spacing w:val="-1"/>
                <w:sz w:val="21"/>
                <w:szCs w:val="21"/>
              </w:rPr>
              <w:t>SH/T 0604—2000</w:t>
            </w:r>
          </w:p>
        </w:tc>
      </w:tr>
    </w:tbl>
    <w:p w14:paraId="2B19007B">
      <w:pPr>
        <w:pStyle w:val="2"/>
        <w:spacing w:before="170" w:line="221" w:lineRule="auto"/>
        <w:ind w:left="425"/>
      </w:pPr>
      <w:r>
        <w:t>执行企业标准、团体标准、地方标准的产品，检</w:t>
      </w:r>
      <w:r>
        <w:rPr>
          <w:spacing w:val="-1"/>
        </w:rPr>
        <w:t>验项目、检验方法参照上述内容执行。</w:t>
      </w:r>
    </w:p>
    <w:p w14:paraId="61C536D0">
      <w:pPr>
        <w:pStyle w:val="2"/>
        <w:spacing w:before="189" w:line="368" w:lineRule="auto"/>
        <w:ind w:left="115" w:firstLine="314"/>
      </w:pPr>
      <w:r>
        <w:rPr>
          <w:spacing w:val="-3"/>
        </w:rPr>
        <w:t>凡是注日期的文件，其随后所有的修改单（不包括勘</w:t>
      </w:r>
      <w:r>
        <w:rPr>
          <w:spacing w:val="-4"/>
        </w:rPr>
        <w:t>误的内容）或修订版不适用于本细则。</w:t>
      </w:r>
      <w:r>
        <w:t xml:space="preserve"> </w:t>
      </w:r>
      <w:r>
        <w:rPr>
          <w:spacing w:val="-1"/>
        </w:rPr>
        <w:t>凡是不注日期的文件，其最新版本适用于本细</w:t>
      </w:r>
      <w:r>
        <w:rPr>
          <w:spacing w:val="-2"/>
        </w:rPr>
        <w:t>则。</w:t>
      </w:r>
    </w:p>
    <w:p w14:paraId="4EAD1D08">
      <w:pPr>
        <w:spacing w:before="1" w:line="219" w:lineRule="auto"/>
        <w:ind w:left="6"/>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p w14:paraId="44BCD21C">
      <w:pPr>
        <w:pStyle w:val="2"/>
        <w:spacing w:before="261" w:line="220" w:lineRule="auto"/>
        <w:ind w:left="115"/>
      </w:pPr>
      <w:r>
        <w:rPr>
          <w:spacing w:val="-2"/>
        </w:rPr>
        <w:t>3.1  判定依据</w:t>
      </w:r>
    </w:p>
    <w:p w14:paraId="68987C9C">
      <w:pPr>
        <w:pStyle w:val="2"/>
        <w:spacing w:before="145" w:line="221" w:lineRule="auto"/>
        <w:ind w:left="424"/>
      </w:pPr>
      <w:r>
        <w:rPr>
          <w:rFonts w:ascii="Times New Roman" w:hAnsi="Times New Roman" w:eastAsia="Times New Roman" w:cs="Times New Roman"/>
          <w:spacing w:val="-2"/>
        </w:rPr>
        <w:t>GB</w:t>
      </w:r>
      <w:r>
        <w:rPr>
          <w:rFonts w:ascii="Times New Roman" w:hAnsi="Times New Roman" w:eastAsia="Times New Roman" w:cs="Times New Roman"/>
          <w:spacing w:val="31"/>
        </w:rPr>
        <w:t xml:space="preserve"> </w:t>
      </w:r>
      <w:r>
        <w:rPr>
          <w:rFonts w:ascii="Times New Roman" w:hAnsi="Times New Roman" w:eastAsia="Times New Roman" w:cs="Times New Roman"/>
          <w:spacing w:val="-2"/>
        </w:rPr>
        <w:t>17930</w:t>
      </w:r>
      <w:r>
        <w:rPr>
          <w:spacing w:val="-2"/>
        </w:rPr>
        <w:t>—</w:t>
      </w:r>
      <w:r>
        <w:rPr>
          <w:rFonts w:ascii="Times New Roman" w:hAnsi="Times New Roman" w:eastAsia="Times New Roman" w:cs="Times New Roman"/>
          <w:spacing w:val="-2"/>
        </w:rPr>
        <w:t xml:space="preserve">2016  </w:t>
      </w:r>
      <w:r>
        <w:rPr>
          <w:spacing w:val="-2"/>
        </w:rPr>
        <w:t>车用汽油</w:t>
      </w:r>
    </w:p>
    <w:p w14:paraId="217A3D65">
      <w:pPr>
        <w:pStyle w:val="2"/>
        <w:spacing w:before="217" w:line="221" w:lineRule="auto"/>
        <w:ind w:left="424"/>
      </w:pPr>
      <w:r>
        <w:rPr>
          <w:rFonts w:ascii="Times New Roman" w:hAnsi="Times New Roman" w:eastAsia="Times New Roman" w:cs="Times New Roman"/>
          <w:spacing w:val="-1"/>
        </w:rPr>
        <w:t>GB</w:t>
      </w:r>
      <w:r>
        <w:rPr>
          <w:rFonts w:ascii="Times New Roman" w:hAnsi="Times New Roman" w:eastAsia="Times New Roman" w:cs="Times New Roman"/>
          <w:spacing w:val="23"/>
          <w:w w:val="101"/>
        </w:rPr>
        <w:t xml:space="preserve"> </w:t>
      </w:r>
      <w:r>
        <w:rPr>
          <w:rFonts w:ascii="Times New Roman" w:hAnsi="Times New Roman" w:eastAsia="Times New Roman" w:cs="Times New Roman"/>
          <w:spacing w:val="-1"/>
        </w:rPr>
        <w:t>18351</w:t>
      </w:r>
      <w:r>
        <w:rPr>
          <w:spacing w:val="-1"/>
        </w:rPr>
        <w:t>—</w:t>
      </w:r>
      <w:r>
        <w:rPr>
          <w:rFonts w:ascii="Times New Roman" w:hAnsi="Times New Roman" w:eastAsia="Times New Roman" w:cs="Times New Roman"/>
          <w:spacing w:val="-1"/>
        </w:rPr>
        <w:t xml:space="preserve">2017  </w:t>
      </w:r>
      <w:r>
        <w:rPr>
          <w:spacing w:val="-1"/>
        </w:rPr>
        <w:t>车用乙醇汽油（</w:t>
      </w:r>
      <w:r>
        <w:rPr>
          <w:rFonts w:ascii="Times New Roman" w:hAnsi="Times New Roman" w:eastAsia="Times New Roman" w:cs="Times New Roman"/>
          <w:spacing w:val="-2"/>
        </w:rPr>
        <w:t>E10</w:t>
      </w:r>
      <w:r>
        <w:rPr>
          <w:spacing w:val="-2"/>
        </w:rPr>
        <w:t>）</w:t>
      </w:r>
    </w:p>
    <w:p w14:paraId="5D841EC4">
      <w:pPr>
        <w:pStyle w:val="2"/>
        <w:spacing w:before="217" w:line="221" w:lineRule="auto"/>
        <w:ind w:left="424"/>
      </w:pPr>
      <w:r>
        <w:rPr>
          <w:rFonts w:ascii="Times New Roman" w:hAnsi="Times New Roman" w:eastAsia="Times New Roman" w:cs="Times New Roman"/>
        </w:rPr>
        <w:t>GB 22030</w:t>
      </w:r>
      <w:r>
        <w:t>—</w:t>
      </w:r>
      <w:r>
        <w:rPr>
          <w:rFonts w:ascii="Times New Roman" w:hAnsi="Times New Roman" w:eastAsia="Times New Roman" w:cs="Times New Roman"/>
        </w:rPr>
        <w:t xml:space="preserve">2017  </w:t>
      </w:r>
      <w:r>
        <w:t>车用乙醇汽油调</w:t>
      </w:r>
      <w:r>
        <w:rPr>
          <w:spacing w:val="-1"/>
        </w:rPr>
        <w:t>合组分油</w:t>
      </w:r>
    </w:p>
    <w:p w14:paraId="3AFCFEB6">
      <w:pPr>
        <w:spacing w:line="221" w:lineRule="auto"/>
        <w:sectPr>
          <w:footerReference r:id="rId5" w:type="default"/>
          <w:pgSz w:w="11907" w:h="16839"/>
          <w:pgMar w:top="1431" w:right="1565" w:bottom="1148" w:left="1646" w:header="0" w:footer="988" w:gutter="0"/>
          <w:cols w:space="720" w:num="1"/>
        </w:sectPr>
      </w:pPr>
    </w:p>
    <w:p w14:paraId="22D33172">
      <w:pPr>
        <w:spacing w:line="328" w:lineRule="auto"/>
        <w:rPr>
          <w:rFonts w:ascii="Arial"/>
          <w:sz w:val="21"/>
        </w:rPr>
      </w:pPr>
    </w:p>
    <w:p w14:paraId="43677F68">
      <w:pPr>
        <w:pStyle w:val="2"/>
        <w:spacing w:before="68" w:line="221" w:lineRule="auto"/>
        <w:ind w:left="419"/>
      </w:pPr>
      <w:r>
        <w:rPr>
          <w:rFonts w:ascii="Times New Roman" w:hAnsi="Times New Roman" w:eastAsia="Times New Roman" w:cs="Times New Roman"/>
          <w:spacing w:val="-2"/>
        </w:rPr>
        <w:t>GB</w:t>
      </w:r>
      <w:r>
        <w:rPr>
          <w:rFonts w:ascii="Times New Roman" w:hAnsi="Times New Roman" w:eastAsia="Times New Roman" w:cs="Times New Roman"/>
          <w:spacing w:val="31"/>
        </w:rPr>
        <w:t xml:space="preserve"> </w:t>
      </w:r>
      <w:r>
        <w:rPr>
          <w:rFonts w:ascii="Times New Roman" w:hAnsi="Times New Roman" w:eastAsia="Times New Roman" w:cs="Times New Roman"/>
          <w:spacing w:val="-2"/>
        </w:rPr>
        <w:t>19147</w:t>
      </w:r>
      <w:r>
        <w:rPr>
          <w:spacing w:val="-2"/>
        </w:rPr>
        <w:t>—</w:t>
      </w:r>
      <w:r>
        <w:rPr>
          <w:rFonts w:ascii="Times New Roman" w:hAnsi="Times New Roman" w:eastAsia="Times New Roman" w:cs="Times New Roman"/>
          <w:spacing w:val="-2"/>
        </w:rPr>
        <w:t xml:space="preserve">2016  </w:t>
      </w:r>
      <w:r>
        <w:rPr>
          <w:spacing w:val="-2"/>
        </w:rPr>
        <w:t>车用柴油</w:t>
      </w:r>
    </w:p>
    <w:p w14:paraId="3F40707E">
      <w:pPr>
        <w:pStyle w:val="2"/>
        <w:spacing w:before="260" w:line="221" w:lineRule="auto"/>
      </w:pPr>
      <w:r>
        <w:rPr>
          <w:rFonts w:ascii="Times New Roman" w:hAnsi="Times New Roman" w:eastAsia="Times New Roman" w:cs="Times New Roman"/>
          <w:spacing w:val="-1"/>
        </w:rPr>
        <w:t xml:space="preserve">3.2 </w:t>
      </w:r>
      <w:r>
        <w:rPr>
          <w:spacing w:val="-1"/>
        </w:rPr>
        <w:t>判定原则</w:t>
      </w:r>
    </w:p>
    <w:p w14:paraId="02A7F5D9">
      <w:pPr>
        <w:pStyle w:val="2"/>
        <w:spacing w:before="186" w:line="373" w:lineRule="auto"/>
        <w:ind w:left="3" w:firstLine="415"/>
      </w:pPr>
      <w:r>
        <w:t>经检验，检验项目全部合格，判定为被抽查产品所检项目未发现不合格；检验项目中任一</w:t>
      </w:r>
      <w:r>
        <w:rPr>
          <w:spacing w:val="5"/>
        </w:rPr>
        <w:t xml:space="preserve"> </w:t>
      </w:r>
      <w:r>
        <w:rPr>
          <w:spacing w:val="-1"/>
        </w:rPr>
        <w:t>项或一项以上不合格，判定为被抽查产品不合格。</w:t>
      </w:r>
    </w:p>
    <w:p w14:paraId="1B517266">
      <w:pPr>
        <w:pStyle w:val="2"/>
        <w:spacing w:before="33" w:line="373" w:lineRule="auto"/>
        <w:ind w:left="17" w:firstLine="401"/>
      </w:pPr>
      <w:r>
        <w:t>若被检产品明示的质量要求高于本细则中检验项目依据的标准要求时，应按被检产品明示</w:t>
      </w:r>
      <w:r>
        <w:rPr>
          <w:spacing w:val="6"/>
        </w:rPr>
        <w:t xml:space="preserve"> </w:t>
      </w:r>
      <w:r>
        <w:rPr>
          <w:spacing w:val="-3"/>
        </w:rPr>
        <w:t>的质量要求判定。</w:t>
      </w:r>
    </w:p>
    <w:p w14:paraId="2EC6FFA6">
      <w:pPr>
        <w:pStyle w:val="2"/>
        <w:spacing w:before="28" w:line="376" w:lineRule="auto"/>
        <w:ind w:left="2" w:firstLine="415"/>
      </w:pPr>
      <w:r>
        <w:t>若被检产品明示的质量要求低于本细则中检验项目依据的强制性标准要求时，应按照强制</w:t>
      </w:r>
      <w:r>
        <w:rPr>
          <w:spacing w:val="6"/>
        </w:rPr>
        <w:t xml:space="preserve"> </w:t>
      </w:r>
      <w:r>
        <w:rPr>
          <w:spacing w:val="-1"/>
        </w:rPr>
        <w:t>性标准要求判定。</w:t>
      </w:r>
    </w:p>
    <w:p w14:paraId="0F8C8FBB">
      <w:pPr>
        <w:pStyle w:val="2"/>
        <w:spacing w:before="26" w:line="373"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49D89401">
      <w:pPr>
        <w:pStyle w:val="2"/>
        <w:spacing w:before="33" w:line="373"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01E89A6D">
      <w:pPr>
        <w:pStyle w:val="2"/>
        <w:spacing w:before="30" w:line="375" w:lineRule="auto"/>
        <w:ind w:left="4" w:firstLine="414"/>
      </w:pPr>
      <w:r>
        <w:t>若被检产品明示的质量要求缺少本细则中检验项目依据的推荐性标准要求时，该项目不参</w:t>
      </w:r>
      <w:r>
        <w:rPr>
          <w:spacing w:val="6"/>
        </w:rPr>
        <w:t xml:space="preserve"> </w:t>
      </w:r>
      <w:r>
        <w:rPr>
          <w:spacing w:val="-3"/>
        </w:rPr>
        <w:t>与判定。</w:t>
      </w:r>
    </w:p>
    <w:sectPr>
      <w:footerReference r:id="rId6" w:type="default"/>
      <w:pgSz w:w="11907" w:h="16839"/>
      <w:pgMar w:top="1431" w:right="1637" w:bottom="1148"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A1D1">
    <w:pPr>
      <w:spacing w:line="174" w:lineRule="auto"/>
      <w:ind w:left="41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A6C1">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A86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1255</Words>
  <Characters>1950</Characters>
  <TotalTime>0</TotalTime>
  <ScaleCrop>false</ScaleCrop>
  <LinksUpToDate>false</LinksUpToDate>
  <CharactersWithSpaces>2098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2025-02-24T17:09:00Z</dcterms:created>
  <dc:creator>User</dc:creator>
  <cp:lastModifiedBy>WPS_1645145261</cp:lastModifiedBy>
  <dcterms:modified xsi:type="dcterms:W3CDTF">2025-05-01T08:15:25Z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2025-05-01T16:15:19Z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4CC0564DE6834CF3920C5B66CEB37A68_12</vt:lpwstr>
  </property>
</Properties>
</file>