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C0C5F">
      <w:pPr>
        <w:spacing w:line="320" w:lineRule="auto"/>
        <w:rPr>
          <w:rFonts w:ascii="Arial"/>
          <w:sz w:val="21"/>
        </w:rPr>
      </w:pPr>
    </w:p>
    <w:p w14:paraId="3BD7EC8E">
      <w:pPr>
        <w:spacing w:before="101" w:line="224" w:lineRule="auto"/>
        <w:ind w:left="1272"/>
        <w:outlineLvl w:val="0"/>
        <w:rPr>
          <w:rFonts w:ascii="黑体" w:hAnsi="黑体" w:eastAsia="黑体" w:cs="黑体"/>
          <w:sz w:val="31"/>
          <w:szCs w:val="31"/>
        </w:rPr>
      </w:pPr>
      <w:r>
        <w:rPr>
          <w:rFonts w:hint="eastAsia" w:ascii="黑体" w:hAnsi="黑体" w:eastAsia="黑体" w:cs="黑体"/>
          <w:spacing w:val="9"/>
          <w:sz w:val="31"/>
          <w:szCs w:val="31"/>
          <w:lang w:val="en-US" w:eastAsia="zh-CN"/>
        </w:rPr>
        <w:t>通城县</w:t>
      </w:r>
      <w:r>
        <w:rPr>
          <w:rFonts w:ascii="黑体" w:hAnsi="黑体" w:eastAsia="黑体" w:cs="黑体"/>
          <w:spacing w:val="9"/>
          <w:sz w:val="31"/>
          <w:szCs w:val="31"/>
        </w:rPr>
        <w:t>车用尿素产品质量监督抽查实施细则</w:t>
      </w:r>
    </w:p>
    <w:p w14:paraId="167C4ABE">
      <w:pPr>
        <w:spacing w:before="249" w:line="224" w:lineRule="auto"/>
        <w:ind w:left="3340"/>
        <w:outlineLvl w:val="0"/>
        <w:rPr>
          <w:rFonts w:ascii="黑体" w:hAnsi="黑体" w:eastAsia="黑体" w:cs="黑体"/>
          <w:sz w:val="31"/>
          <w:szCs w:val="31"/>
        </w:rPr>
      </w:pPr>
      <w:r>
        <w:rPr>
          <w:rFonts w:ascii="黑体" w:hAnsi="黑体" w:eastAsia="黑体" w:cs="黑体"/>
          <w:spacing w:val="-3"/>
          <w:sz w:val="31"/>
          <w:szCs w:val="31"/>
        </w:rPr>
        <w:t>（2025</w:t>
      </w:r>
      <w:r>
        <w:rPr>
          <w:rFonts w:ascii="黑体" w:hAnsi="黑体" w:eastAsia="黑体" w:cs="黑体"/>
          <w:spacing w:val="-61"/>
          <w:sz w:val="31"/>
          <w:szCs w:val="31"/>
        </w:rPr>
        <w:t xml:space="preserve"> </w:t>
      </w:r>
      <w:r>
        <w:rPr>
          <w:rFonts w:ascii="黑体" w:hAnsi="黑体" w:eastAsia="黑体" w:cs="黑体"/>
          <w:spacing w:val="-3"/>
          <w:sz w:val="31"/>
          <w:szCs w:val="31"/>
        </w:rPr>
        <w:t>年版）</w:t>
      </w:r>
    </w:p>
    <w:p w14:paraId="5DDF9351">
      <w:pPr>
        <w:spacing w:before="265" w:line="219" w:lineRule="auto"/>
        <w:ind w:left="17"/>
        <w:rPr>
          <w:rFonts w:ascii="黑体" w:hAnsi="黑体" w:eastAsia="黑体" w:cs="黑体"/>
          <w:sz w:val="21"/>
          <w:szCs w:val="21"/>
        </w:rPr>
      </w:pPr>
      <w:r>
        <w:rPr>
          <w:rFonts w:ascii="Times New Roman" w:hAnsi="Times New Roman" w:eastAsia="Times New Roman" w:cs="Times New Roman"/>
          <w:spacing w:val="-7"/>
          <w:sz w:val="21"/>
          <w:szCs w:val="21"/>
        </w:rPr>
        <w:t>1</w:t>
      </w:r>
      <w:r>
        <w:rPr>
          <w:rFonts w:ascii="Times New Roman" w:hAnsi="Times New Roman" w:eastAsia="Times New Roman" w:cs="Times New Roman"/>
          <w:spacing w:val="6"/>
          <w:sz w:val="21"/>
          <w:szCs w:val="21"/>
        </w:rPr>
        <w:t xml:space="preserve">  </w:t>
      </w:r>
      <w:r>
        <w:rPr>
          <w:rFonts w:ascii="黑体" w:hAnsi="黑体" w:eastAsia="黑体" w:cs="黑体"/>
          <w:spacing w:val="-7"/>
          <w:sz w:val="21"/>
          <w:szCs w:val="21"/>
        </w:rPr>
        <w:t>抽样方法</w:t>
      </w:r>
    </w:p>
    <w:p w14:paraId="7C884E30">
      <w:pPr>
        <w:pStyle w:val="2"/>
        <w:spacing w:before="190" w:line="372" w:lineRule="auto"/>
        <w:ind w:left="432" w:right="2422" w:firstLine="12"/>
      </w:pPr>
      <w:r>
        <w:rPr>
          <w:spacing w:val="-2"/>
        </w:rPr>
        <w:t>以随机抽样的方式在被抽样生产者、销售者的待销产品中</w:t>
      </w:r>
      <w:r>
        <w:rPr>
          <w:spacing w:val="-3"/>
        </w:rPr>
        <w:t>抽取。</w:t>
      </w:r>
      <w:r>
        <w:t xml:space="preserve"> </w:t>
      </w:r>
      <w:r>
        <w:rPr>
          <w:spacing w:val="-2"/>
        </w:rPr>
        <w:t>随机数一般可使用随机数表等方法产生。</w:t>
      </w:r>
    </w:p>
    <w:p w14:paraId="17105BFF">
      <w:pPr>
        <w:pStyle w:val="2"/>
        <w:spacing w:before="32" w:line="383" w:lineRule="auto"/>
        <w:ind w:right="71" w:firstLine="420"/>
      </w:pPr>
      <w:r>
        <w:rPr>
          <w:spacing w:val="-1"/>
        </w:rPr>
        <w:t>每批次产品抽取不少于</w:t>
      </w:r>
      <w:r>
        <w:rPr>
          <w:spacing w:val="-29"/>
        </w:rPr>
        <w:t xml:space="preserve"> </w:t>
      </w:r>
      <w:r>
        <w:rPr>
          <w:spacing w:val="-1"/>
        </w:rPr>
        <w:t>2L</w:t>
      </w:r>
      <w:r>
        <w:rPr>
          <w:spacing w:val="-35"/>
        </w:rPr>
        <w:t xml:space="preserve"> </w:t>
      </w:r>
      <w:r>
        <w:rPr>
          <w:spacing w:val="-1"/>
        </w:rPr>
        <w:t>样品</w:t>
      </w:r>
      <w:r>
        <w:rPr>
          <w:spacing w:val="-30"/>
        </w:rPr>
        <w:t xml:space="preserve"> </w:t>
      </w:r>
      <w:r>
        <w:rPr>
          <w:spacing w:val="-1"/>
        </w:rPr>
        <w:t>2</w:t>
      </w:r>
      <w:r>
        <w:rPr>
          <w:spacing w:val="-34"/>
        </w:rPr>
        <w:t xml:space="preserve"> </w:t>
      </w:r>
      <w:r>
        <w:rPr>
          <w:spacing w:val="-1"/>
        </w:rPr>
        <w:t>份，一份检样，一份备样，总量不少于</w:t>
      </w:r>
      <w:r>
        <w:rPr>
          <w:spacing w:val="-33"/>
        </w:rPr>
        <w:t xml:space="preserve"> </w:t>
      </w:r>
      <w:r>
        <w:rPr>
          <w:spacing w:val="-1"/>
        </w:rPr>
        <w:t>4L</w:t>
      </w:r>
      <w:r>
        <w:rPr>
          <w:spacing w:val="-2"/>
        </w:rPr>
        <w:t>。有独立包装</w:t>
      </w:r>
      <w:r>
        <w:t xml:space="preserve"> </w:t>
      </w:r>
      <w:r>
        <w:rPr>
          <w:spacing w:val="-1"/>
        </w:rPr>
        <w:t>产品，所需的抽样数量从混放的样品中随机抽取一定数量的</w:t>
      </w:r>
      <w:r>
        <w:rPr>
          <w:spacing w:val="-2"/>
        </w:rPr>
        <w:t>独立包装，每份样品不得少于</w:t>
      </w:r>
      <w:r>
        <w:rPr>
          <w:spacing w:val="-41"/>
        </w:rPr>
        <w:t xml:space="preserve"> </w:t>
      </w:r>
      <w:r>
        <w:rPr>
          <w:spacing w:val="-2"/>
        </w:rPr>
        <w:t>2L，</w:t>
      </w:r>
      <w:r>
        <w:t xml:space="preserve"> </w:t>
      </w:r>
      <w:r>
        <w:rPr>
          <w:spacing w:val="-3"/>
        </w:rPr>
        <w:t>按检测样品和备用样品的要求分成两份，1/2</w:t>
      </w:r>
      <w:r>
        <w:rPr>
          <w:spacing w:val="-27"/>
        </w:rPr>
        <w:t xml:space="preserve"> </w:t>
      </w:r>
      <w:r>
        <w:rPr>
          <w:spacing w:val="-3"/>
        </w:rPr>
        <w:t>作为检测样品，1/2</w:t>
      </w:r>
      <w:r>
        <w:rPr>
          <w:spacing w:val="-45"/>
        </w:rPr>
        <w:t xml:space="preserve"> </w:t>
      </w:r>
      <w:r>
        <w:rPr>
          <w:spacing w:val="-3"/>
        </w:rPr>
        <w:t>作为备用样品，并分别独立封</w:t>
      </w:r>
      <w:r>
        <w:t xml:space="preserve"> 样。如产品独立包装大于</w:t>
      </w:r>
      <w:r>
        <w:rPr>
          <w:spacing w:val="-38"/>
        </w:rPr>
        <w:t xml:space="preserve"> </w:t>
      </w:r>
      <w:r>
        <w:t>50L，使用符合</w:t>
      </w:r>
      <w:r>
        <w:rPr>
          <w:spacing w:val="-41"/>
        </w:rPr>
        <w:t xml:space="preserve"> </w:t>
      </w:r>
      <w:r>
        <w:t>GB 29518</w:t>
      </w:r>
      <w:r>
        <w:rPr>
          <w:spacing w:val="-1"/>
        </w:rPr>
        <w:t>-2013《柴油发动机氮氧化物还原剂 尿素水</w:t>
      </w:r>
      <w:r>
        <w:t xml:space="preserve"> </w:t>
      </w:r>
      <w:r>
        <w:rPr>
          <w:spacing w:val="-5"/>
        </w:rPr>
        <w:t>溶液（AUS32）》附录</w:t>
      </w:r>
      <w:r>
        <w:rPr>
          <w:spacing w:val="-30"/>
        </w:rPr>
        <w:t xml:space="preserve"> </w:t>
      </w:r>
      <w:r>
        <w:rPr>
          <w:spacing w:val="-5"/>
        </w:rPr>
        <w:t>I</w:t>
      </w:r>
      <w:r>
        <w:rPr>
          <w:spacing w:val="-43"/>
        </w:rPr>
        <w:t xml:space="preserve"> </w:t>
      </w:r>
      <w:r>
        <w:rPr>
          <w:spacing w:val="-5"/>
        </w:rPr>
        <w:t>要求的包装物进行分装取样。其中</w:t>
      </w:r>
      <w:r>
        <w:rPr>
          <w:spacing w:val="-28"/>
        </w:rPr>
        <w:t xml:space="preserve"> </w:t>
      </w:r>
      <w:r>
        <w:rPr>
          <w:spacing w:val="-5"/>
        </w:rPr>
        <w:t>1</w:t>
      </w:r>
      <w:r>
        <w:rPr>
          <w:spacing w:val="-44"/>
        </w:rPr>
        <w:t xml:space="preserve"> </w:t>
      </w:r>
      <w:r>
        <w:rPr>
          <w:spacing w:val="-5"/>
        </w:rPr>
        <w:t>份为检验用样品，另 1</w:t>
      </w:r>
      <w:r>
        <w:rPr>
          <w:spacing w:val="-44"/>
        </w:rPr>
        <w:t xml:space="preserve"> </w:t>
      </w:r>
      <w:r>
        <w:rPr>
          <w:spacing w:val="-5"/>
        </w:rPr>
        <w:t>份为备用样</w:t>
      </w:r>
      <w:r>
        <w:t xml:space="preserve"> </w:t>
      </w:r>
      <w:r>
        <w:rPr>
          <w:spacing w:val="-10"/>
        </w:rPr>
        <w:t>品。</w:t>
      </w:r>
    </w:p>
    <w:p w14:paraId="50FAFBE2">
      <w:pPr>
        <w:spacing w:before="27" w:line="220" w:lineRule="auto"/>
        <w:ind w:left="140"/>
        <w:rPr>
          <w:rFonts w:ascii="黑体" w:hAnsi="黑体" w:eastAsia="黑体" w:cs="黑体"/>
          <w:sz w:val="21"/>
          <w:szCs w:val="21"/>
        </w:rPr>
      </w:pPr>
      <w:r>
        <w:rPr>
          <w:rFonts w:ascii="黑体" w:hAnsi="黑体" w:eastAsia="黑体" w:cs="黑体"/>
          <w:spacing w:val="-1"/>
          <w:sz w:val="21"/>
          <w:szCs w:val="21"/>
        </w:rPr>
        <w:t>2、检验依据</w:t>
      </w:r>
    </w:p>
    <w:p w14:paraId="3CCE9DB2">
      <w:pPr>
        <w:spacing w:line="18" w:lineRule="exact"/>
      </w:pPr>
    </w:p>
    <w:tbl>
      <w:tblPr>
        <w:tblStyle w:val="5"/>
        <w:tblW w:w="7698" w:type="dxa"/>
        <w:tblInd w:w="4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9"/>
        <w:gridCol w:w="1984"/>
        <w:gridCol w:w="2126"/>
        <w:gridCol w:w="2629"/>
      </w:tblGrid>
      <w:tr w14:paraId="72CFE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959" w:type="dxa"/>
            <w:vAlign w:val="top"/>
          </w:tcPr>
          <w:p w14:paraId="785CB005">
            <w:pPr>
              <w:pStyle w:val="6"/>
              <w:spacing w:before="240" w:line="222" w:lineRule="auto"/>
              <w:ind w:left="273"/>
            </w:pPr>
            <w:r>
              <w:rPr>
                <w:spacing w:val="-2"/>
              </w:rPr>
              <w:t>序号</w:t>
            </w:r>
          </w:p>
        </w:tc>
        <w:tc>
          <w:tcPr>
            <w:tcW w:w="1984" w:type="dxa"/>
            <w:vAlign w:val="top"/>
          </w:tcPr>
          <w:p w14:paraId="4F6FAE7E">
            <w:pPr>
              <w:pStyle w:val="6"/>
              <w:spacing w:before="240" w:line="221" w:lineRule="auto"/>
              <w:ind w:left="575"/>
            </w:pPr>
            <w:r>
              <w:rPr>
                <w:spacing w:val="-2"/>
              </w:rPr>
              <w:t>检验项目</w:t>
            </w:r>
          </w:p>
        </w:tc>
        <w:tc>
          <w:tcPr>
            <w:tcW w:w="2126" w:type="dxa"/>
            <w:vAlign w:val="top"/>
          </w:tcPr>
          <w:p w14:paraId="0C3CC71E">
            <w:pPr>
              <w:pStyle w:val="6"/>
              <w:spacing w:before="240" w:line="220" w:lineRule="auto"/>
              <w:ind w:left="646"/>
            </w:pPr>
            <w:r>
              <w:rPr>
                <w:spacing w:val="-2"/>
              </w:rPr>
              <w:t>检验依据</w:t>
            </w:r>
          </w:p>
        </w:tc>
        <w:tc>
          <w:tcPr>
            <w:tcW w:w="2629" w:type="dxa"/>
            <w:vAlign w:val="top"/>
          </w:tcPr>
          <w:p w14:paraId="32757F69">
            <w:pPr>
              <w:pStyle w:val="6"/>
              <w:spacing w:before="240" w:line="221" w:lineRule="auto"/>
              <w:ind w:left="899"/>
            </w:pPr>
            <w:r>
              <w:rPr>
                <w:spacing w:val="-2"/>
              </w:rPr>
              <w:t>检验方法</w:t>
            </w:r>
          </w:p>
        </w:tc>
      </w:tr>
      <w:tr w14:paraId="0393F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959" w:type="dxa"/>
            <w:vAlign w:val="top"/>
          </w:tcPr>
          <w:p w14:paraId="3233011C">
            <w:pPr>
              <w:pStyle w:val="6"/>
              <w:spacing w:before="205" w:line="183" w:lineRule="auto"/>
              <w:ind w:left="448"/>
            </w:pPr>
            <w:r>
              <w:t>1</w:t>
            </w:r>
          </w:p>
        </w:tc>
        <w:tc>
          <w:tcPr>
            <w:tcW w:w="1984" w:type="dxa"/>
            <w:vAlign w:val="top"/>
          </w:tcPr>
          <w:p w14:paraId="292A811D">
            <w:pPr>
              <w:pStyle w:val="6"/>
              <w:spacing w:before="170" w:line="221" w:lineRule="auto"/>
              <w:ind w:left="531"/>
            </w:pPr>
            <w:r>
              <w:rPr>
                <w:spacing w:val="-1"/>
              </w:rPr>
              <w:t>尿素含量</w:t>
            </w:r>
          </w:p>
        </w:tc>
        <w:tc>
          <w:tcPr>
            <w:tcW w:w="2126" w:type="dxa"/>
            <w:vAlign w:val="top"/>
          </w:tcPr>
          <w:p w14:paraId="5D0C450C">
            <w:pPr>
              <w:pStyle w:val="6"/>
              <w:spacing w:before="205" w:line="183" w:lineRule="auto"/>
              <w:ind w:left="327"/>
            </w:pPr>
            <w:r>
              <w:rPr>
                <w:spacing w:val="-1"/>
              </w:rPr>
              <w:t>GB 29518—2013</w:t>
            </w:r>
          </w:p>
        </w:tc>
        <w:tc>
          <w:tcPr>
            <w:tcW w:w="2629" w:type="dxa"/>
            <w:vAlign w:val="top"/>
          </w:tcPr>
          <w:p w14:paraId="643CC5EA">
            <w:pPr>
              <w:pStyle w:val="6"/>
              <w:spacing w:before="171" w:line="220" w:lineRule="auto"/>
              <w:ind w:left="239"/>
            </w:pPr>
            <w:r>
              <w:rPr>
                <w:spacing w:val="-2"/>
              </w:rPr>
              <w:t>GB 29518—2013</w:t>
            </w:r>
            <w:r>
              <w:rPr>
                <w:spacing w:val="27"/>
              </w:rPr>
              <w:t xml:space="preserve"> </w:t>
            </w:r>
            <w:r>
              <w:rPr>
                <w:spacing w:val="-2"/>
              </w:rPr>
              <w:t>附录</w:t>
            </w:r>
            <w:r>
              <w:rPr>
                <w:spacing w:val="-50"/>
              </w:rPr>
              <w:t xml:space="preserve"> </w:t>
            </w:r>
            <w:r>
              <w:rPr>
                <w:spacing w:val="-2"/>
              </w:rPr>
              <w:t>A</w:t>
            </w:r>
          </w:p>
        </w:tc>
      </w:tr>
      <w:tr w14:paraId="319AD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59" w:type="dxa"/>
            <w:vAlign w:val="top"/>
          </w:tcPr>
          <w:p w14:paraId="1D2DEC1F">
            <w:pPr>
              <w:pStyle w:val="6"/>
              <w:spacing w:before="207" w:line="182" w:lineRule="auto"/>
              <w:ind w:left="435"/>
            </w:pPr>
            <w:r>
              <w:t>2</w:t>
            </w:r>
          </w:p>
        </w:tc>
        <w:tc>
          <w:tcPr>
            <w:tcW w:w="1984" w:type="dxa"/>
            <w:vAlign w:val="top"/>
          </w:tcPr>
          <w:p w14:paraId="2DF2DEFD">
            <w:pPr>
              <w:pStyle w:val="6"/>
              <w:spacing w:before="172" w:line="221" w:lineRule="auto"/>
              <w:ind w:left="367"/>
            </w:pPr>
            <w:r>
              <w:rPr>
                <w:spacing w:val="-3"/>
              </w:rPr>
              <w:t>密度（20℃)</w:t>
            </w:r>
          </w:p>
        </w:tc>
        <w:tc>
          <w:tcPr>
            <w:tcW w:w="2126" w:type="dxa"/>
            <w:vAlign w:val="top"/>
          </w:tcPr>
          <w:p w14:paraId="67C7F82C">
            <w:pPr>
              <w:pStyle w:val="6"/>
              <w:spacing w:before="206" w:line="183" w:lineRule="auto"/>
              <w:ind w:left="327"/>
            </w:pPr>
            <w:r>
              <w:rPr>
                <w:spacing w:val="-1"/>
              </w:rPr>
              <w:t>GB 29518—2013</w:t>
            </w:r>
          </w:p>
        </w:tc>
        <w:tc>
          <w:tcPr>
            <w:tcW w:w="2629" w:type="dxa"/>
            <w:vAlign w:val="top"/>
          </w:tcPr>
          <w:p w14:paraId="375F431B">
            <w:pPr>
              <w:pStyle w:val="6"/>
              <w:spacing w:before="171" w:line="226" w:lineRule="auto"/>
              <w:ind w:left="583"/>
            </w:pPr>
            <w:r>
              <w:rPr>
                <w:spacing w:val="-1"/>
              </w:rPr>
              <w:t>SH/T 0604-2000</w:t>
            </w:r>
          </w:p>
        </w:tc>
      </w:tr>
      <w:tr w14:paraId="22A59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59" w:type="dxa"/>
            <w:vAlign w:val="top"/>
          </w:tcPr>
          <w:p w14:paraId="6AEB68FC">
            <w:pPr>
              <w:pStyle w:val="6"/>
              <w:spacing w:before="207" w:line="182" w:lineRule="auto"/>
              <w:ind w:left="437"/>
            </w:pPr>
            <w:r>
              <w:t>3</w:t>
            </w:r>
          </w:p>
        </w:tc>
        <w:tc>
          <w:tcPr>
            <w:tcW w:w="1984" w:type="dxa"/>
            <w:vAlign w:val="top"/>
          </w:tcPr>
          <w:p w14:paraId="417F179B">
            <w:pPr>
              <w:pStyle w:val="6"/>
              <w:spacing w:before="171" w:line="221" w:lineRule="auto"/>
              <w:ind w:left="682"/>
            </w:pPr>
            <w:r>
              <w:rPr>
                <w:spacing w:val="-2"/>
              </w:rPr>
              <w:t>折光率</w:t>
            </w:r>
          </w:p>
        </w:tc>
        <w:tc>
          <w:tcPr>
            <w:tcW w:w="2126" w:type="dxa"/>
            <w:vAlign w:val="top"/>
          </w:tcPr>
          <w:p w14:paraId="7C06A81D">
            <w:pPr>
              <w:pStyle w:val="6"/>
              <w:spacing w:before="206" w:line="183" w:lineRule="auto"/>
              <w:ind w:left="327"/>
            </w:pPr>
            <w:r>
              <w:rPr>
                <w:spacing w:val="-1"/>
              </w:rPr>
              <w:t>GB 29518—2013</w:t>
            </w:r>
          </w:p>
        </w:tc>
        <w:tc>
          <w:tcPr>
            <w:tcW w:w="2629" w:type="dxa"/>
            <w:vAlign w:val="top"/>
          </w:tcPr>
          <w:p w14:paraId="44CCFD9D">
            <w:pPr>
              <w:pStyle w:val="6"/>
              <w:spacing w:before="171" w:line="226" w:lineRule="auto"/>
              <w:ind w:left="632"/>
            </w:pPr>
            <w:r>
              <w:rPr>
                <w:spacing w:val="-1"/>
              </w:rPr>
              <w:t>GB/T 614-2021</w:t>
            </w:r>
          </w:p>
        </w:tc>
      </w:tr>
      <w:tr w14:paraId="0695A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59" w:type="dxa"/>
            <w:vAlign w:val="top"/>
          </w:tcPr>
          <w:p w14:paraId="236E499B">
            <w:pPr>
              <w:pStyle w:val="6"/>
              <w:spacing w:before="207" w:line="182" w:lineRule="auto"/>
              <w:ind w:left="431"/>
            </w:pPr>
            <w:r>
              <w:t>4</w:t>
            </w:r>
          </w:p>
        </w:tc>
        <w:tc>
          <w:tcPr>
            <w:tcW w:w="1984" w:type="dxa"/>
            <w:vAlign w:val="top"/>
          </w:tcPr>
          <w:p w14:paraId="4C4CE29D">
            <w:pPr>
              <w:pStyle w:val="6"/>
              <w:spacing w:before="171" w:line="220" w:lineRule="auto"/>
              <w:ind w:left="681"/>
            </w:pPr>
            <w:r>
              <w:rPr>
                <w:spacing w:val="-2"/>
              </w:rPr>
              <w:t>缩二脲</w:t>
            </w:r>
          </w:p>
        </w:tc>
        <w:tc>
          <w:tcPr>
            <w:tcW w:w="2126" w:type="dxa"/>
            <w:vAlign w:val="top"/>
          </w:tcPr>
          <w:p w14:paraId="793BA829">
            <w:pPr>
              <w:pStyle w:val="6"/>
              <w:spacing w:before="206" w:line="183" w:lineRule="auto"/>
              <w:ind w:left="327"/>
            </w:pPr>
            <w:r>
              <w:rPr>
                <w:spacing w:val="-1"/>
              </w:rPr>
              <w:t>GB 29518—2013</w:t>
            </w:r>
          </w:p>
        </w:tc>
        <w:tc>
          <w:tcPr>
            <w:tcW w:w="2629" w:type="dxa"/>
            <w:vAlign w:val="top"/>
          </w:tcPr>
          <w:p w14:paraId="7AC461BC">
            <w:pPr>
              <w:pStyle w:val="6"/>
              <w:spacing w:before="171" w:line="220" w:lineRule="auto"/>
              <w:ind w:left="239"/>
            </w:pPr>
            <w:r>
              <w:rPr>
                <w:spacing w:val="-2"/>
              </w:rPr>
              <w:t>GB 29518—2013</w:t>
            </w:r>
            <w:r>
              <w:rPr>
                <w:spacing w:val="27"/>
              </w:rPr>
              <w:t xml:space="preserve"> </w:t>
            </w:r>
            <w:r>
              <w:rPr>
                <w:spacing w:val="-2"/>
              </w:rPr>
              <w:t>附录</w:t>
            </w:r>
            <w:r>
              <w:rPr>
                <w:spacing w:val="-45"/>
              </w:rPr>
              <w:t xml:space="preserve"> </w:t>
            </w:r>
            <w:r>
              <w:rPr>
                <w:spacing w:val="-2"/>
              </w:rPr>
              <w:t>C</w:t>
            </w:r>
          </w:p>
        </w:tc>
      </w:tr>
      <w:tr w14:paraId="7D060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959" w:type="dxa"/>
            <w:vAlign w:val="top"/>
          </w:tcPr>
          <w:p w14:paraId="34B3CC6B">
            <w:pPr>
              <w:pStyle w:val="6"/>
              <w:spacing w:before="208" w:line="181" w:lineRule="auto"/>
              <w:ind w:left="437"/>
            </w:pPr>
            <w:r>
              <w:t>5</w:t>
            </w:r>
          </w:p>
        </w:tc>
        <w:tc>
          <w:tcPr>
            <w:tcW w:w="1984" w:type="dxa"/>
            <w:vAlign w:val="top"/>
          </w:tcPr>
          <w:p w14:paraId="27005EDB">
            <w:pPr>
              <w:pStyle w:val="6"/>
              <w:spacing w:before="171" w:line="221" w:lineRule="auto"/>
              <w:ind w:left="113"/>
            </w:pPr>
            <w:r>
              <w:rPr>
                <w:spacing w:val="-4"/>
              </w:rPr>
              <w:t>醛类（以</w:t>
            </w:r>
            <w:r>
              <w:rPr>
                <w:spacing w:val="-30"/>
              </w:rPr>
              <w:t xml:space="preserve"> </w:t>
            </w:r>
            <w:r>
              <w:rPr>
                <w:spacing w:val="-4"/>
              </w:rPr>
              <w:t>HCHO</w:t>
            </w:r>
            <w:r>
              <w:rPr>
                <w:spacing w:val="-46"/>
              </w:rPr>
              <w:t xml:space="preserve"> </w:t>
            </w:r>
            <w:r>
              <w:rPr>
                <w:spacing w:val="-4"/>
              </w:rPr>
              <w:t>计）</w:t>
            </w:r>
          </w:p>
        </w:tc>
        <w:tc>
          <w:tcPr>
            <w:tcW w:w="2126" w:type="dxa"/>
            <w:vAlign w:val="top"/>
          </w:tcPr>
          <w:p w14:paraId="49BF271F">
            <w:pPr>
              <w:pStyle w:val="6"/>
              <w:spacing w:before="206" w:line="183" w:lineRule="auto"/>
              <w:ind w:left="327"/>
            </w:pPr>
            <w:r>
              <w:rPr>
                <w:spacing w:val="-1"/>
              </w:rPr>
              <w:t>GB 29518—2013</w:t>
            </w:r>
          </w:p>
        </w:tc>
        <w:tc>
          <w:tcPr>
            <w:tcW w:w="2629" w:type="dxa"/>
            <w:vAlign w:val="top"/>
          </w:tcPr>
          <w:p w14:paraId="47B8E254">
            <w:pPr>
              <w:pStyle w:val="6"/>
              <w:spacing w:before="172" w:line="220" w:lineRule="auto"/>
              <w:ind w:left="239"/>
            </w:pPr>
            <w:r>
              <w:rPr>
                <w:spacing w:val="-2"/>
              </w:rPr>
              <w:t>GB 29518—2013</w:t>
            </w:r>
            <w:r>
              <w:rPr>
                <w:spacing w:val="27"/>
              </w:rPr>
              <w:t xml:space="preserve"> </w:t>
            </w:r>
            <w:r>
              <w:rPr>
                <w:spacing w:val="-2"/>
              </w:rPr>
              <w:t>附录</w:t>
            </w:r>
            <w:r>
              <w:rPr>
                <w:spacing w:val="-48"/>
              </w:rPr>
              <w:t xml:space="preserve"> </w:t>
            </w:r>
            <w:r>
              <w:rPr>
                <w:spacing w:val="-2"/>
              </w:rPr>
              <w:t>D</w:t>
            </w:r>
          </w:p>
        </w:tc>
      </w:tr>
      <w:tr w14:paraId="60F41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59" w:type="dxa"/>
            <w:vAlign w:val="top"/>
          </w:tcPr>
          <w:p w14:paraId="5399AD9A">
            <w:pPr>
              <w:pStyle w:val="6"/>
              <w:spacing w:before="208" w:line="182" w:lineRule="auto"/>
              <w:ind w:left="434"/>
            </w:pPr>
            <w:r>
              <w:t>6</w:t>
            </w:r>
          </w:p>
        </w:tc>
        <w:tc>
          <w:tcPr>
            <w:tcW w:w="1984" w:type="dxa"/>
            <w:vAlign w:val="top"/>
          </w:tcPr>
          <w:p w14:paraId="3A02DE27">
            <w:pPr>
              <w:pStyle w:val="6"/>
              <w:spacing w:before="173" w:line="221" w:lineRule="auto"/>
              <w:ind w:left="192"/>
            </w:pPr>
            <w:r>
              <w:rPr>
                <w:spacing w:val="-5"/>
              </w:rPr>
              <w:t>碱度（以</w:t>
            </w:r>
            <w:r>
              <w:rPr>
                <w:spacing w:val="-23"/>
              </w:rPr>
              <w:t xml:space="preserve"> </w:t>
            </w:r>
            <w:r>
              <w:rPr>
                <w:spacing w:val="-5"/>
              </w:rPr>
              <w:t>NH</w:t>
            </w:r>
            <w:r>
              <w:rPr>
                <w:spacing w:val="-5"/>
                <w:sz w:val="11"/>
                <w:szCs w:val="11"/>
              </w:rPr>
              <w:t>3</w:t>
            </w:r>
            <w:r>
              <w:rPr>
                <w:spacing w:val="-21"/>
                <w:sz w:val="11"/>
                <w:szCs w:val="11"/>
              </w:rPr>
              <w:t xml:space="preserve"> </w:t>
            </w:r>
            <w:r>
              <w:rPr>
                <w:spacing w:val="-5"/>
              </w:rPr>
              <w:t>计）</w:t>
            </w:r>
          </w:p>
        </w:tc>
        <w:tc>
          <w:tcPr>
            <w:tcW w:w="2126" w:type="dxa"/>
            <w:vAlign w:val="top"/>
          </w:tcPr>
          <w:p w14:paraId="51F2E626">
            <w:pPr>
              <w:pStyle w:val="6"/>
              <w:spacing w:before="207" w:line="183" w:lineRule="auto"/>
              <w:ind w:left="327"/>
            </w:pPr>
            <w:r>
              <w:rPr>
                <w:spacing w:val="-1"/>
              </w:rPr>
              <w:t>GB 29518—2013</w:t>
            </w:r>
          </w:p>
        </w:tc>
        <w:tc>
          <w:tcPr>
            <w:tcW w:w="2629" w:type="dxa"/>
            <w:vAlign w:val="top"/>
          </w:tcPr>
          <w:p w14:paraId="17246070">
            <w:pPr>
              <w:pStyle w:val="6"/>
              <w:spacing w:before="172" w:line="220" w:lineRule="auto"/>
              <w:ind w:left="239"/>
            </w:pPr>
            <w:r>
              <w:rPr>
                <w:spacing w:val="-2"/>
              </w:rPr>
              <w:t>GB 29518—2013</w:t>
            </w:r>
            <w:r>
              <w:rPr>
                <w:spacing w:val="27"/>
              </w:rPr>
              <w:t xml:space="preserve"> </w:t>
            </w:r>
            <w:r>
              <w:rPr>
                <w:spacing w:val="-2"/>
              </w:rPr>
              <w:t>附录</w:t>
            </w:r>
            <w:r>
              <w:rPr>
                <w:spacing w:val="-49"/>
              </w:rPr>
              <w:t xml:space="preserve"> </w:t>
            </w:r>
            <w:r>
              <w:rPr>
                <w:spacing w:val="-2"/>
              </w:rPr>
              <w:t>B</w:t>
            </w:r>
          </w:p>
        </w:tc>
      </w:tr>
    </w:tbl>
    <w:p w14:paraId="29333FD6">
      <w:pPr>
        <w:pStyle w:val="2"/>
        <w:spacing w:before="171" w:line="221" w:lineRule="auto"/>
        <w:ind w:left="420"/>
      </w:pPr>
      <w:r>
        <w:t>执行企业标准、团体标准、地方标准的产品，检</w:t>
      </w:r>
      <w:r>
        <w:rPr>
          <w:spacing w:val="-1"/>
        </w:rPr>
        <w:t>验项目、检验方法参照上述内容执行。</w:t>
      </w:r>
    </w:p>
    <w:p w14:paraId="4365AD9F">
      <w:pPr>
        <w:pStyle w:val="2"/>
        <w:spacing w:before="191" w:line="363" w:lineRule="auto"/>
        <w:ind w:left="5" w:firstLine="419"/>
      </w:pPr>
      <w:r>
        <w:rPr>
          <w:spacing w:val="-3"/>
        </w:rPr>
        <w:t>凡是注日期的文件，其随后所有的修改单（不包括勘</w:t>
      </w:r>
      <w:r>
        <w:rPr>
          <w:spacing w:val="-4"/>
        </w:rPr>
        <w:t>误的内容）或修订版不适用于本细则。</w:t>
      </w:r>
      <w:r>
        <w:t xml:space="preserve"> </w:t>
      </w:r>
      <w:r>
        <w:rPr>
          <w:spacing w:val="-1"/>
        </w:rPr>
        <w:t>凡是不注日期的文件，其最新版本适用于本细</w:t>
      </w:r>
      <w:r>
        <w:rPr>
          <w:spacing w:val="-2"/>
        </w:rPr>
        <w:t>则。</w:t>
      </w:r>
    </w:p>
    <w:p w14:paraId="1329C354">
      <w:pPr>
        <w:spacing w:line="363" w:lineRule="auto"/>
        <w:sectPr>
          <w:footerReference r:id="rId5" w:type="default"/>
          <w:pgSz w:w="11907" w:h="16839"/>
          <w:pgMar w:top="1431" w:right="1565" w:bottom="2427" w:left="1651" w:header="0" w:footer="2177" w:gutter="0"/>
          <w:cols w:space="720" w:num="1"/>
        </w:sectPr>
      </w:pPr>
    </w:p>
    <w:p w14:paraId="7FAFC104">
      <w:pPr>
        <w:spacing w:line="371" w:lineRule="auto"/>
        <w:rPr>
          <w:rFonts w:ascii="Arial"/>
          <w:sz w:val="21"/>
        </w:rPr>
      </w:pPr>
    </w:p>
    <w:p w14:paraId="69BC0F52">
      <w:pPr>
        <w:pStyle w:val="2"/>
        <w:spacing w:before="68" w:line="220" w:lineRule="auto"/>
        <w:ind w:left="215"/>
      </w:pPr>
      <w:r>
        <w:rPr>
          <w:spacing w:val="-3"/>
        </w:rPr>
        <w:t>3.1</w:t>
      </w:r>
      <w:r>
        <w:rPr>
          <w:spacing w:val="-43"/>
        </w:rPr>
        <w:t xml:space="preserve"> </w:t>
      </w:r>
      <w:r>
        <w:rPr>
          <w:spacing w:val="-3"/>
        </w:rPr>
        <w:t>判定依据</w:t>
      </w:r>
    </w:p>
    <w:p w14:paraId="397FCF76">
      <w:pPr>
        <w:pStyle w:val="2"/>
        <w:spacing w:before="188" w:line="220" w:lineRule="auto"/>
        <w:ind w:left="417"/>
      </w:pPr>
      <w:r>
        <w:t>GB 29518—2013</w:t>
      </w:r>
      <w:r>
        <w:rPr>
          <w:spacing w:val="-44"/>
        </w:rPr>
        <w:t xml:space="preserve"> </w:t>
      </w:r>
      <w:r>
        <w:t>柴油发动机氮氧化物还原剂尿</w:t>
      </w:r>
      <w:r>
        <w:rPr>
          <w:spacing w:val="-1"/>
        </w:rPr>
        <w:t>素水溶液（AUS 32）</w:t>
      </w:r>
    </w:p>
    <w:p w14:paraId="131EE01B">
      <w:pPr>
        <w:pStyle w:val="2"/>
        <w:spacing w:before="188" w:line="220" w:lineRule="auto"/>
        <w:ind w:left="419"/>
      </w:pPr>
      <w:r>
        <w:rPr>
          <w:spacing w:val="-1"/>
        </w:rPr>
        <w:t>相关的法律法规、部门规章和规范</w:t>
      </w:r>
    </w:p>
    <w:p w14:paraId="3B7F2864">
      <w:pPr>
        <w:pStyle w:val="2"/>
        <w:spacing w:before="192" w:line="373" w:lineRule="auto"/>
        <w:ind w:right="2738" w:firstLine="421"/>
      </w:pPr>
      <w:r>
        <w:t>经备案现行有效的企业标准、地方标准及产品</w:t>
      </w:r>
      <w:r>
        <w:rPr>
          <w:spacing w:val="-1"/>
        </w:rPr>
        <w:t>明示质量要求</w:t>
      </w:r>
      <w:r>
        <w:t xml:space="preserve"> </w:t>
      </w:r>
      <w:r>
        <w:rPr>
          <w:rFonts w:ascii="Times New Roman" w:hAnsi="Times New Roman" w:eastAsia="Times New Roman" w:cs="Times New Roman"/>
          <w:spacing w:val="-1"/>
        </w:rPr>
        <w:t xml:space="preserve">3.2 </w:t>
      </w:r>
      <w:r>
        <w:rPr>
          <w:spacing w:val="-1"/>
        </w:rPr>
        <w:t>判定原则</w:t>
      </w:r>
    </w:p>
    <w:p w14:paraId="1EDB1B8D">
      <w:pPr>
        <w:pStyle w:val="2"/>
        <w:spacing w:before="29" w:line="375" w:lineRule="auto"/>
        <w:ind w:left="3" w:firstLine="415"/>
      </w:pPr>
      <w:r>
        <w:t>经检验，检验项目全部合格，判定为被抽查产品所检项目未发现不合格；检验项目中任一</w:t>
      </w:r>
      <w:r>
        <w:rPr>
          <w:spacing w:val="5"/>
        </w:rPr>
        <w:t xml:space="preserve"> </w:t>
      </w:r>
      <w:r>
        <w:rPr>
          <w:spacing w:val="-1"/>
        </w:rPr>
        <w:t>项或一项以上不合格，判定为被抽查产品不合格。</w:t>
      </w:r>
    </w:p>
    <w:p w14:paraId="3BD6FFCF">
      <w:pPr>
        <w:pStyle w:val="2"/>
        <w:spacing w:before="29" w:line="373" w:lineRule="auto"/>
        <w:ind w:left="17" w:firstLine="401"/>
      </w:pPr>
      <w:r>
        <w:t>若被检产品明示的质量要求高于本细则中检验项目依据的标准要求时，应按被检产品明示</w:t>
      </w:r>
      <w:r>
        <w:rPr>
          <w:spacing w:val="6"/>
        </w:rPr>
        <w:t xml:space="preserve"> </w:t>
      </w:r>
      <w:r>
        <w:rPr>
          <w:spacing w:val="-3"/>
        </w:rPr>
        <w:t>的质量要求判定。</w:t>
      </w:r>
    </w:p>
    <w:p w14:paraId="12BB22AD">
      <w:pPr>
        <w:pStyle w:val="2"/>
        <w:spacing w:before="32" w:line="373" w:lineRule="auto"/>
        <w:ind w:left="2" w:firstLine="415"/>
      </w:pPr>
      <w:r>
        <w:t>若被检产品明示的质量要求低于本细则中检验项目依据的强制性标准要求时，应按照强制</w:t>
      </w:r>
      <w:r>
        <w:rPr>
          <w:spacing w:val="6"/>
        </w:rPr>
        <w:t xml:space="preserve"> </w:t>
      </w:r>
      <w:r>
        <w:rPr>
          <w:spacing w:val="-1"/>
        </w:rPr>
        <w:t>性标准要求判定。</w:t>
      </w:r>
    </w:p>
    <w:p w14:paraId="6A12DD79">
      <w:pPr>
        <w:pStyle w:val="2"/>
        <w:spacing w:before="29" w:line="375" w:lineRule="auto"/>
        <w:ind w:right="19" w:firstLine="418"/>
      </w:pPr>
      <w:r>
        <w:t>若被检产品明示的质量要求低于或包含本细则中检验项目依</w:t>
      </w:r>
      <w:r>
        <w:rPr>
          <w:spacing w:val="-1"/>
        </w:rPr>
        <w:t>据的推荐性标准要求时，应以</w:t>
      </w:r>
      <w:r>
        <w:t xml:space="preserve"> </w:t>
      </w:r>
      <w:r>
        <w:rPr>
          <w:spacing w:val="-2"/>
        </w:rPr>
        <w:t>被检产品明示的质量要求判定。</w:t>
      </w:r>
    </w:p>
    <w:p w14:paraId="2E45E130">
      <w:pPr>
        <w:pStyle w:val="2"/>
        <w:spacing w:before="29" w:line="373" w:lineRule="auto"/>
        <w:ind w:left="2" w:firstLine="415"/>
      </w:pPr>
      <w:r>
        <w:t>若被检产品明示的质量要求缺少本细则中检验项目依据的强制性标准要求时，应按照强制</w:t>
      </w:r>
      <w:r>
        <w:rPr>
          <w:spacing w:val="6"/>
        </w:rPr>
        <w:t xml:space="preserve"> </w:t>
      </w:r>
      <w:r>
        <w:rPr>
          <w:spacing w:val="-1"/>
        </w:rPr>
        <w:t>性标准要求判定。</w:t>
      </w:r>
    </w:p>
    <w:p w14:paraId="72F179A1">
      <w:pPr>
        <w:pStyle w:val="2"/>
        <w:spacing w:before="32" w:line="373" w:lineRule="auto"/>
        <w:ind w:left="4" w:firstLine="414"/>
      </w:pPr>
      <w:r>
        <w:t>若被检产品明示的质量要求缺少本细则中检验项目依据的推荐性标准要求时，该项目不参</w:t>
      </w:r>
      <w:r>
        <w:rPr>
          <w:spacing w:val="6"/>
        </w:rPr>
        <w:t xml:space="preserve"> </w:t>
      </w:r>
      <w:r>
        <w:rPr>
          <w:spacing w:val="-3"/>
        </w:rPr>
        <w:t>与判定。</w:t>
      </w:r>
    </w:p>
    <w:sectPr>
      <w:footerReference r:id="rId6" w:type="default"/>
      <w:pgSz w:w="11907" w:h="16839"/>
      <w:pgMar w:top="1431" w:right="1637" w:bottom="1148" w:left="1652" w:header="0" w:footer="98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7524D">
    <w:pPr>
      <w:spacing w:line="211" w:lineRule="auto"/>
      <w:ind w:left="1"/>
      <w:rPr>
        <w:rFonts w:ascii="黑体" w:hAnsi="黑体" w:eastAsia="黑体" w:cs="黑体"/>
        <w:sz w:val="21"/>
        <w:szCs w:val="21"/>
      </w:rPr>
    </w:pPr>
    <w:r>
      <w:rPr>
        <w:rFonts w:ascii="Times New Roman" w:hAnsi="Times New Roman" w:eastAsia="Times New Roman" w:cs="Times New Roman"/>
        <w:spacing w:val="-1"/>
        <w:sz w:val="21"/>
        <w:szCs w:val="21"/>
      </w:rPr>
      <w:t xml:space="preserve">3  </w:t>
    </w:r>
    <w:r>
      <w:rPr>
        <w:rFonts w:ascii="黑体" w:hAnsi="黑体" w:eastAsia="黑体" w:cs="黑体"/>
        <w:spacing w:val="-1"/>
        <w:sz w:val="21"/>
        <w:szCs w:val="21"/>
      </w:rPr>
      <w:t>判定规则</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81627">
    <w:pPr>
      <w:spacing w:line="174" w:lineRule="auto"/>
      <w:ind w:left="415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spacing w:val="-4"/>
        <w:sz w:val="18"/>
        <w:szCs w:val="18"/>
      </w:rPr>
      <w:t>2</w:t>
    </w:r>
    <w:r>
      <w:rPr>
        <w:rFonts w:ascii="Times New Roman" w:hAnsi="Times New Roman" w:eastAsia="Times New Roman" w:cs="Times New Roman"/>
        <w:spacing w:val="9"/>
        <w:sz w:val="18"/>
        <w:szCs w:val="18"/>
      </w:rPr>
      <w:t xml:space="preserve"> </w:t>
    </w:r>
    <w:r>
      <w:rPr>
        <w:rFonts w:ascii="Times New Roman" w:hAnsi="Times New Roman" w:eastAsia="Times New Roman" w:cs="Times New Roman"/>
        <w:spacing w:val="-4"/>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38108A4"/>
    <w:rsid w:val="6DCF7A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922</Words>
  <Characters>1152</Characters>
  <TotalTime>0</TotalTime>
  <ScaleCrop>false</ScaleCrop>
  <LinksUpToDate>false</LinksUpToDate>
  <CharactersWithSpaces>1236</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2025-02-24T17:09:00Z</dcterms:created>
  <dc:creator>User</dc:creator>
  <cp:lastModifiedBy>WPS_1645145261</cp:lastModifiedBy>
  <dcterms:modified xsi:type="dcterms:W3CDTF">2025-05-06T07:21:51Z</dcterms:modified>
  <dc:title>附件：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2025-05-01T15:57:35Z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15D96DB0EBF54840ABED5C254760D366_12</vt:lpwstr>
  </property>
</Properties>
</file>