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E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2024年度全县预算单位“三公”经费执行情况</w:t>
      </w:r>
    </w:p>
    <w:p w14:paraId="77223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根据2024年部门决算报表统计，各部门厉行节约，严格落实中央八项规定精神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，落实过“紧日子”政策，“三公”经费严格按照“只减不增”的要求执行，取消无实质内容的因公出国（境）等活动，压缩公务接待数量和费用，严控公务用车购置和运行维护支出。其中：</w:t>
      </w:r>
    </w:p>
    <w:p w14:paraId="0CA4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1.因公出国（境）费0万元，与上年0万元持平。</w:t>
      </w:r>
    </w:p>
    <w:p w14:paraId="1A87D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公务用车购置及运行维护费1096万元，较上年1364万元减少268万元，下降19.6%。其中：（1）公务用车购置费251万元，比上年减少350万元，下降58.2%；（2）公务用车运行维护费845万元，比上年763万元增长82万元，增长10.7%，增长原因：一是单位接待考察学习、招商活动等公务用车增多；二是很多部门车辆老化，维修成本上升。</w:t>
      </w:r>
    </w:p>
    <w:p w14:paraId="18A3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3.公务接待费517万元，较上年597万元，减少80万元，下降13.4%。</w:t>
      </w:r>
    </w:p>
    <w:p w14:paraId="5DD4A0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35720"/>
    <w:rsid w:val="6614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371</Characters>
  <Lines>0</Lines>
  <Paragraphs>0</Paragraphs>
  <TotalTime>0</TotalTime>
  <ScaleCrop>false</ScaleCrop>
  <LinksUpToDate>false</LinksUpToDate>
  <CharactersWithSpaces>371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2025-10-23T08:27:00Z</dcterms:created>
  <dc:creator>Administrator</dc:creator>
  <cp:lastModifiedBy>一点都不</cp:lastModifiedBy>
  <dcterms:modified xsi:type="dcterms:W3CDTF">2025-10-28T07:44:38Z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ADF2C061B185486BA94C7C768EFF7976_13</vt:lpwstr>
  </property>
  <property fmtid="{D5CDD505-2E9C-101B-9397-08002B2CF9AE}" pid="4" name="KSOTemplateDocerSaveRecord">
    <vt:lpwstr>eyJoZGlkIjoiMDMxZjdiYjAwYmRiNmI1NmI5MmFhZmJlYWI1MjFhMDEiLCJ1c2VySWQiOiI0NTUzODk3NjgifQ==</vt:lpwstr>
  </property>
</Properties>
</file>