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石南镇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关于切实履行河湖库长巡查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职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责</w:t>
      </w:r>
    </w:p>
    <w:p>
      <w:pPr>
        <w:rPr>
          <w:rFonts w:hint="eastAsia" w:ascii="方正小标宋简体" w:hAnsi="仿宋" w:eastAsia="方正小标宋简体"/>
          <w:color w:val="auto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为进一步健全我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河湖库长制工作体系，规范各级河湖库长定时监管、记录责任河湖库生态环境治理工作，根据《湖北省河湖长巡查河湖暂行办法》要求，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明确我镇河湖库长巡察的工作职责如下：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乡镇级河湖库长(或委托联系部门)全线巡查不少于1次/月，乡镇级河湖库长本人巡查不少于1次/双月；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级河湖库长本人不少1次/周。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河湖库长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责任人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要高度重视河湖库长工作，切实做到既挂帅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又出征，全面落实巡查内容，履行巡查职责，并将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河湖库长巡查履职情况上报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河湖库长办。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4.认真做好河湖库长巡查台账。</w:t>
      </w:r>
      <w:r>
        <w:rPr>
          <w:rFonts w:hint="eastAsia" w:ascii="仿宋_GB2312" w:hAnsi="仿宋" w:eastAsia="仿宋_GB2312"/>
          <w:color w:val="auto"/>
          <w:spacing w:val="6"/>
          <w:sz w:val="32"/>
          <w:szCs w:val="32"/>
        </w:rPr>
        <w:t>镇</w:t>
      </w:r>
      <w:r>
        <w:rPr>
          <w:rFonts w:hint="eastAsia" w:ascii="仿宋_GB2312" w:hAnsi="仿宋" w:eastAsia="仿宋_GB2312"/>
          <w:color w:val="auto"/>
          <w:spacing w:val="6"/>
          <w:sz w:val="32"/>
          <w:szCs w:val="32"/>
          <w:lang w:eastAsia="zh-CN"/>
        </w:rPr>
        <w:t>纪委和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镇河湖库长领导小组将定期对各村（社区）相关台账资料进行检查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，台账资料没有或不齐，无相关影像资料的将视为巡查无效，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造成恶劣影响的将按相关规定追究纪律责任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24042"/>
    <w:rsid w:val="3BA24042"/>
    <w:rsid w:val="7A3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2021-11-30T04:14:00Z</dcterms:created>
  <dc:creator>夏大一</dc:creator>
  <cp:lastModifiedBy>夏大一</cp:lastModifiedBy>
  <dcterms:modified xsi:type="dcterms:W3CDTF">2021-11-30T04:15:44Z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7AF6640C26634601A7816825DECC7820</vt:lpwstr>
  </property>
</Properties>
</file>