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33C2D">
      <w:pPr>
        <w:spacing w:before="140" w:line="178" w:lineRule="auto"/>
        <w:ind w:left="1408"/>
        <w:outlineLvl w:val="0"/>
        <w:rPr>
          <w:rFonts w:ascii="微软雅黑" w:hAnsi="微软雅黑" w:eastAsia="微软雅黑" w:cs="微软雅黑"/>
          <w:sz w:val="31"/>
          <w:szCs w:val="31"/>
        </w:rPr>
      </w:pPr>
      <w:r>
        <w:rPr>
          <w:rFonts w:hint="eastAsia" w:ascii="微软雅黑" w:hAnsi="微软雅黑" w:eastAsia="微软雅黑" w:cs="微软雅黑"/>
          <w:b/>
          <w:bCs/>
          <w:spacing w:val="8"/>
          <w:sz w:val="31"/>
          <w:szCs w:val="31"/>
          <w:lang w:val="en-US" w:eastAsia="zh-CN"/>
        </w:rPr>
        <w:t>通城县</w:t>
      </w:r>
      <w:r>
        <w:rPr>
          <w:rFonts w:ascii="微软雅黑" w:hAnsi="微软雅黑" w:eastAsia="微软雅黑" w:cs="微软雅黑"/>
          <w:b/>
          <w:bCs/>
          <w:spacing w:val="8"/>
          <w:sz w:val="31"/>
          <w:szCs w:val="31"/>
        </w:rPr>
        <w:t>陶瓷砖产品质量监督抽查实施细则</w:t>
      </w:r>
    </w:p>
    <w:p w14:paraId="6A0885D8">
      <w:pPr>
        <w:spacing w:before="163" w:line="186" w:lineRule="auto"/>
        <w:ind w:left="3233"/>
        <w:outlineLvl w:val="0"/>
        <w:rPr>
          <w:rFonts w:ascii="微软雅黑" w:hAnsi="微软雅黑" w:eastAsia="微软雅黑" w:cs="微软雅黑"/>
          <w:sz w:val="31"/>
          <w:szCs w:val="31"/>
        </w:rPr>
      </w:pPr>
      <w:r>
        <w:rPr>
          <w:rFonts w:ascii="微软雅黑" w:hAnsi="微软雅黑" w:eastAsia="微软雅黑" w:cs="微软雅黑"/>
          <w:b/>
          <w:bCs/>
          <w:spacing w:val="11"/>
          <w:sz w:val="31"/>
          <w:szCs w:val="31"/>
        </w:rPr>
        <w:t>（</w:t>
      </w:r>
      <w:r>
        <w:rPr>
          <w:rFonts w:ascii="微软雅黑" w:hAnsi="微软雅黑" w:eastAsia="微软雅黑" w:cs="微软雅黑"/>
          <w:b/>
          <w:bCs/>
          <w:spacing w:val="8"/>
          <w:sz w:val="31"/>
          <w:szCs w:val="31"/>
        </w:rPr>
        <w:t>202</w:t>
      </w:r>
      <w:r>
        <w:rPr>
          <w:rFonts w:hint="eastAsia" w:ascii="微软雅黑" w:hAnsi="微软雅黑" w:eastAsia="微软雅黑" w:cs="微软雅黑"/>
          <w:b/>
          <w:bCs/>
          <w:spacing w:val="8"/>
          <w:sz w:val="31"/>
          <w:szCs w:val="31"/>
          <w:lang w:val="en-US" w:eastAsia="zh-CN"/>
        </w:rPr>
        <w:t>6</w:t>
      </w:r>
      <w:bookmarkStart w:id="0" w:name="_GoBack"/>
      <w:bookmarkEnd w:id="0"/>
      <w:r>
        <w:rPr>
          <w:rFonts w:ascii="微软雅黑" w:hAnsi="微软雅黑" w:eastAsia="微软雅黑" w:cs="微软雅黑"/>
          <w:b/>
          <w:bCs/>
          <w:spacing w:val="8"/>
          <w:sz w:val="31"/>
          <w:szCs w:val="31"/>
        </w:rPr>
        <w:t>年版</w:t>
      </w:r>
      <w:r>
        <w:rPr>
          <w:rFonts w:ascii="微软雅黑" w:hAnsi="微软雅黑" w:eastAsia="微软雅黑" w:cs="微软雅黑"/>
          <w:b/>
          <w:bCs/>
          <w:spacing w:val="11"/>
          <w:sz w:val="31"/>
          <w:szCs w:val="31"/>
        </w:rPr>
        <w:t>）</w:t>
      </w:r>
    </w:p>
    <w:p w14:paraId="02B0FD04">
      <w:pPr>
        <w:spacing w:line="353" w:lineRule="auto"/>
        <w:rPr>
          <w:rFonts w:ascii="Arial"/>
          <w:sz w:val="21"/>
        </w:rPr>
      </w:pPr>
    </w:p>
    <w:p w14:paraId="7D1207F7">
      <w:pPr>
        <w:spacing w:line="353" w:lineRule="auto"/>
        <w:rPr>
          <w:rFonts w:ascii="Arial"/>
          <w:sz w:val="21"/>
        </w:rPr>
      </w:pPr>
    </w:p>
    <w:p w14:paraId="4AB7210E">
      <w:pPr>
        <w:pStyle w:val="2"/>
        <w:spacing w:before="68" w:line="220" w:lineRule="auto"/>
        <w:ind w:left="137"/>
        <w:outlineLvl w:val="1"/>
      </w:pPr>
      <w:r>
        <w:rPr>
          <w:rFonts w:ascii="Constantia" w:hAnsi="Constantia" w:eastAsia="Constantia" w:cs="Constantia"/>
          <w:b/>
          <w:bCs/>
          <w:spacing w:val="-3"/>
        </w:rPr>
        <w:t>1</w:t>
      </w:r>
      <w:r>
        <w:rPr>
          <w:rFonts w:ascii="Constantia" w:hAnsi="Constantia" w:eastAsia="Constantia" w:cs="Constantia"/>
          <w:b/>
          <w:bCs/>
          <w:spacing w:val="8"/>
        </w:rPr>
        <w:t xml:space="preserve">  </w:t>
      </w:r>
      <w:r>
        <w:rPr>
          <w:b/>
          <w:bCs/>
          <w:spacing w:val="-3"/>
        </w:rPr>
        <w:t>抽样方法</w:t>
      </w:r>
    </w:p>
    <w:p w14:paraId="7ADB87E3">
      <w:pPr>
        <w:pStyle w:val="2"/>
        <w:spacing w:before="46" w:line="347" w:lineRule="auto"/>
        <w:ind w:left="552" w:right="2803" w:firstLine="12"/>
      </w:pPr>
      <w:r>
        <w:rPr>
          <w:b/>
          <w:bCs/>
          <w:spacing w:val="-5"/>
        </w:rPr>
        <w:t>以随机抽样的方式在被抽样生产者、销售者的待销产品中抽取。</w:t>
      </w:r>
      <w:r>
        <w:rPr>
          <w:spacing w:val="18"/>
        </w:rPr>
        <w:t xml:space="preserve"> </w:t>
      </w:r>
      <w:r>
        <w:rPr>
          <w:b/>
          <w:bCs/>
          <w:spacing w:val="-4"/>
        </w:rPr>
        <w:t>随机数一般可使用随机数表等方法产生。</w:t>
      </w:r>
    </w:p>
    <w:p w14:paraId="5662A9EA">
      <w:pPr>
        <w:pStyle w:val="2"/>
        <w:spacing w:before="29" w:line="345" w:lineRule="auto"/>
        <w:ind w:left="3616" w:right="2224" w:hanging="3076"/>
      </w:pPr>
      <w:r>
        <w:rPr>
          <w:b/>
          <w:bCs/>
          <w:spacing w:val="-3"/>
        </w:rPr>
        <w:t>抽样基数满足抽样数量即可，抽样数量根据样品规格确定，</w:t>
      </w:r>
      <w:r>
        <w:rPr>
          <w:b/>
          <w:bCs/>
          <w:spacing w:val="-4"/>
        </w:rPr>
        <w:t>详见表</w:t>
      </w:r>
      <w:r>
        <w:rPr>
          <w:spacing w:val="-27"/>
        </w:rPr>
        <w:t xml:space="preserve"> </w:t>
      </w:r>
      <w:r>
        <w:rPr>
          <w:rFonts w:ascii="Constantia" w:hAnsi="Constantia" w:eastAsia="Constantia" w:cs="Constantia"/>
          <w:b/>
          <w:bCs/>
          <w:spacing w:val="-4"/>
        </w:rPr>
        <w:t>1</w:t>
      </w:r>
      <w:r>
        <w:rPr>
          <w:b/>
          <w:bCs/>
          <w:spacing w:val="-4"/>
        </w:rPr>
        <w:t>。</w:t>
      </w:r>
      <w:r>
        <w:t xml:space="preserve"> </w:t>
      </w:r>
      <w:r>
        <w:rPr>
          <w:b/>
          <w:bCs/>
          <w:spacing w:val="-1"/>
        </w:rPr>
        <w:t>表</w:t>
      </w:r>
      <w:r>
        <w:rPr>
          <w:spacing w:val="-28"/>
        </w:rPr>
        <w:t xml:space="preserve"> </w:t>
      </w:r>
      <w:r>
        <w:rPr>
          <w:rFonts w:ascii="Constantia" w:hAnsi="Constantia" w:eastAsia="Constantia" w:cs="Constantia"/>
          <w:b/>
          <w:bCs/>
          <w:spacing w:val="-1"/>
        </w:rPr>
        <w:t xml:space="preserve">1  </w:t>
      </w:r>
      <w:r>
        <w:rPr>
          <w:b/>
          <w:bCs/>
          <w:spacing w:val="-1"/>
        </w:rPr>
        <w:t>抽样数量</w:t>
      </w:r>
    </w:p>
    <w:p w14:paraId="0A16EE48">
      <w:pPr>
        <w:spacing w:line="16" w:lineRule="auto"/>
        <w:rPr>
          <w:rFonts w:ascii="Arial"/>
          <w:sz w:val="2"/>
        </w:rPr>
      </w:pPr>
    </w:p>
    <w:tbl>
      <w:tblPr>
        <w:tblStyle w:val="5"/>
        <w:tblW w:w="914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13"/>
        <w:gridCol w:w="2908"/>
        <w:gridCol w:w="2920"/>
      </w:tblGrid>
      <w:tr w14:paraId="276B5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313" w:type="dxa"/>
            <w:tcBorders>
              <w:left w:val="single" w:color="000000" w:sz="6" w:space="0"/>
              <w:right w:val="single" w:color="000000" w:sz="8" w:space="0"/>
            </w:tcBorders>
            <w:vAlign w:val="top"/>
          </w:tcPr>
          <w:p w14:paraId="74366DE1">
            <w:pPr>
              <w:spacing w:before="67" w:line="220" w:lineRule="auto"/>
              <w:ind w:left="1653"/>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尺寸</w:t>
            </w:r>
          </w:p>
        </w:tc>
        <w:tc>
          <w:tcPr>
            <w:tcW w:w="2908" w:type="dxa"/>
            <w:tcBorders>
              <w:left w:val="single" w:color="000000" w:sz="8" w:space="0"/>
              <w:right w:val="single" w:color="000000" w:sz="8" w:space="0"/>
            </w:tcBorders>
            <w:vAlign w:val="top"/>
          </w:tcPr>
          <w:p w14:paraId="658816AA">
            <w:pPr>
              <w:spacing w:before="68" w:line="220" w:lineRule="auto"/>
              <w:ind w:left="1028"/>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检验样品数量</w:t>
            </w:r>
          </w:p>
        </w:tc>
        <w:tc>
          <w:tcPr>
            <w:tcW w:w="2920" w:type="dxa"/>
            <w:tcBorders>
              <w:left w:val="single" w:color="000000" w:sz="8" w:space="0"/>
              <w:bottom w:val="single" w:color="000000" w:sz="6" w:space="0"/>
            </w:tcBorders>
            <w:vAlign w:val="top"/>
          </w:tcPr>
          <w:p w14:paraId="3A895AA9">
            <w:pPr>
              <w:spacing w:before="68" w:line="220" w:lineRule="auto"/>
              <w:ind w:left="1039"/>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备用样品数量</w:t>
            </w:r>
          </w:p>
        </w:tc>
      </w:tr>
      <w:tr w14:paraId="3C08F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313" w:type="dxa"/>
            <w:tcBorders>
              <w:left w:val="single" w:color="000000" w:sz="6" w:space="0"/>
              <w:right w:val="single" w:color="000000" w:sz="8" w:space="0"/>
            </w:tcBorders>
            <w:vAlign w:val="top"/>
          </w:tcPr>
          <w:p w14:paraId="32914926">
            <w:pPr>
              <w:pStyle w:val="6"/>
              <w:spacing w:before="51" w:line="221" w:lineRule="auto"/>
              <w:ind w:left="992"/>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长边长度＜600 mm</w:t>
            </w:r>
          </w:p>
        </w:tc>
        <w:tc>
          <w:tcPr>
            <w:tcW w:w="2908" w:type="dxa"/>
            <w:tcBorders>
              <w:left w:val="single" w:color="000000" w:sz="8" w:space="0"/>
              <w:right w:val="single" w:color="000000" w:sz="8" w:space="0"/>
            </w:tcBorders>
            <w:vAlign w:val="top"/>
          </w:tcPr>
          <w:p w14:paraId="7CDC7BAA">
            <w:pPr>
              <w:pStyle w:val="6"/>
              <w:spacing w:before="51" w:line="221" w:lineRule="auto"/>
              <w:ind w:left="992"/>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不少于 20 块</w:t>
            </w:r>
          </w:p>
        </w:tc>
        <w:tc>
          <w:tcPr>
            <w:tcW w:w="2920" w:type="dxa"/>
            <w:tcBorders>
              <w:left w:val="single" w:color="000000" w:sz="8" w:space="0"/>
              <w:bottom w:val="single" w:color="000000" w:sz="6" w:space="0"/>
            </w:tcBorders>
            <w:vAlign w:val="top"/>
          </w:tcPr>
          <w:p w14:paraId="26389B53">
            <w:pPr>
              <w:pStyle w:val="6"/>
              <w:spacing w:before="51" w:line="221" w:lineRule="auto"/>
              <w:ind w:left="992"/>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不少于 10 块</w:t>
            </w:r>
          </w:p>
        </w:tc>
      </w:tr>
      <w:tr w14:paraId="32E10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313" w:type="dxa"/>
            <w:tcBorders>
              <w:left w:val="single" w:color="000000" w:sz="6" w:space="0"/>
              <w:right w:val="single" w:color="000000" w:sz="8" w:space="0"/>
            </w:tcBorders>
            <w:vAlign w:val="top"/>
          </w:tcPr>
          <w:p w14:paraId="2B0FA6D6">
            <w:pPr>
              <w:pStyle w:val="6"/>
              <w:spacing w:before="51" w:line="221" w:lineRule="auto"/>
              <w:ind w:left="992"/>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长边长度≥600 mm</w:t>
            </w:r>
          </w:p>
        </w:tc>
        <w:tc>
          <w:tcPr>
            <w:tcW w:w="2908" w:type="dxa"/>
            <w:tcBorders>
              <w:left w:val="single" w:color="000000" w:sz="8" w:space="0"/>
              <w:right w:val="single" w:color="000000" w:sz="8" w:space="0"/>
            </w:tcBorders>
            <w:vAlign w:val="top"/>
          </w:tcPr>
          <w:p w14:paraId="517321E5">
            <w:pPr>
              <w:pStyle w:val="6"/>
              <w:spacing w:before="51" w:line="221" w:lineRule="auto"/>
              <w:ind w:left="992"/>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不少于 12 块</w:t>
            </w:r>
          </w:p>
        </w:tc>
        <w:tc>
          <w:tcPr>
            <w:tcW w:w="2920" w:type="dxa"/>
            <w:tcBorders>
              <w:left w:val="single" w:color="000000" w:sz="8" w:space="0"/>
            </w:tcBorders>
            <w:vAlign w:val="top"/>
          </w:tcPr>
          <w:p w14:paraId="2A546D65">
            <w:pPr>
              <w:pStyle w:val="6"/>
              <w:spacing w:before="51" w:line="221" w:lineRule="auto"/>
              <w:ind w:left="992"/>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不少于 10 块</w:t>
            </w:r>
          </w:p>
        </w:tc>
      </w:tr>
      <w:tr w14:paraId="02560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141" w:type="dxa"/>
            <w:gridSpan w:val="3"/>
            <w:vAlign w:val="top"/>
          </w:tcPr>
          <w:p w14:paraId="1072B162">
            <w:pPr>
              <w:spacing w:before="69" w:line="220" w:lineRule="auto"/>
              <w:ind w:left="111"/>
              <w:rPr>
                <w:rFonts w:ascii="宋体" w:hAnsi="宋体" w:eastAsia="宋体" w:cs="宋体"/>
                <w:sz w:val="21"/>
                <w:szCs w:val="21"/>
              </w:rPr>
            </w:pPr>
            <w:r>
              <w:rPr>
                <w:rFonts w:ascii="宋体" w:hAnsi="宋体" w:eastAsia="宋体" w:cs="宋体"/>
                <w:b/>
                <w:bCs/>
                <w:spacing w:val="-2"/>
                <w:sz w:val="21"/>
                <w:szCs w:val="21"/>
              </w:rPr>
              <w:t>注：抽取样品数量时应在满足抽取的检验样品和备用样品数量基础</w:t>
            </w:r>
            <w:r>
              <w:rPr>
                <w:rFonts w:ascii="宋体" w:hAnsi="宋体" w:eastAsia="宋体" w:cs="宋体"/>
                <w:b/>
                <w:bCs/>
                <w:spacing w:val="-3"/>
                <w:sz w:val="21"/>
                <w:szCs w:val="21"/>
              </w:rPr>
              <w:t>上，整箱抽取，不拆原包装。</w:t>
            </w:r>
          </w:p>
        </w:tc>
      </w:tr>
    </w:tbl>
    <w:p w14:paraId="3F3B0A3A">
      <w:pPr>
        <w:pStyle w:val="2"/>
        <w:spacing w:before="171" w:line="220" w:lineRule="auto"/>
        <w:ind w:left="117"/>
        <w:outlineLvl w:val="1"/>
      </w:pPr>
      <w:r>
        <w:rPr>
          <w:rFonts w:ascii="Constantia" w:hAnsi="Constantia" w:eastAsia="Constantia" w:cs="Constantia"/>
          <w:b/>
          <w:bCs/>
          <w:spacing w:val="-3"/>
        </w:rPr>
        <w:t>2</w:t>
      </w:r>
      <w:r>
        <w:rPr>
          <w:rFonts w:ascii="Constantia" w:hAnsi="Constantia" w:eastAsia="Constantia" w:cs="Constantia"/>
          <w:b/>
          <w:bCs/>
          <w:spacing w:val="6"/>
        </w:rPr>
        <w:t xml:space="preserve">  </w:t>
      </w:r>
      <w:r>
        <w:rPr>
          <w:b/>
          <w:bCs/>
          <w:spacing w:val="-3"/>
        </w:rPr>
        <w:t>检验依据</w:t>
      </w:r>
    </w:p>
    <w:p w14:paraId="35D21D9B">
      <w:pPr>
        <w:pStyle w:val="2"/>
        <w:spacing w:before="191" w:line="222" w:lineRule="auto"/>
        <w:ind w:left="3722"/>
      </w:pPr>
      <w:r>
        <w:rPr>
          <w:b/>
          <w:bCs/>
          <w:spacing w:val="-7"/>
        </w:rPr>
        <w:t>表</w:t>
      </w:r>
      <w:r>
        <w:rPr>
          <w:spacing w:val="-47"/>
        </w:rPr>
        <w:t xml:space="preserve"> </w:t>
      </w:r>
      <w:r>
        <w:rPr>
          <w:rFonts w:ascii="Constantia" w:hAnsi="Constantia" w:eastAsia="Constantia" w:cs="Constantia"/>
          <w:b/>
          <w:bCs/>
          <w:spacing w:val="-7"/>
        </w:rPr>
        <w:t>2</w:t>
      </w:r>
      <w:r>
        <w:rPr>
          <w:rFonts w:ascii="Constantia" w:hAnsi="Constantia" w:eastAsia="Constantia" w:cs="Constantia"/>
          <w:b/>
          <w:bCs/>
          <w:spacing w:val="11"/>
        </w:rPr>
        <w:t xml:space="preserve">  </w:t>
      </w:r>
      <w:r>
        <w:rPr>
          <w:b/>
          <w:bCs/>
          <w:spacing w:val="-7"/>
        </w:rPr>
        <w:t>陶瓷砖</w:t>
      </w:r>
    </w:p>
    <w:p w14:paraId="03E2764D">
      <w:pPr>
        <w:spacing w:line="16" w:lineRule="exact"/>
      </w:pPr>
    </w:p>
    <w:tbl>
      <w:tblPr>
        <w:tblStyle w:val="5"/>
        <w:tblW w:w="9071" w:type="dxa"/>
        <w:tblInd w:w="1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2222"/>
        <w:gridCol w:w="2831"/>
        <w:gridCol w:w="2978"/>
      </w:tblGrid>
      <w:tr w14:paraId="1853B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040" w:type="dxa"/>
            <w:tcBorders>
              <w:left w:val="single" w:color="000000" w:sz="6" w:space="0"/>
              <w:right w:val="single" w:color="000000" w:sz="8" w:space="0"/>
            </w:tcBorders>
            <w:vAlign w:val="top"/>
          </w:tcPr>
          <w:p w14:paraId="3B8473BF">
            <w:pPr>
              <w:spacing w:before="34" w:line="210" w:lineRule="auto"/>
              <w:ind w:left="304"/>
              <w:rPr>
                <w:rFonts w:ascii="宋体" w:hAnsi="宋体" w:eastAsia="宋体" w:cs="宋体"/>
                <w:sz w:val="21"/>
                <w:szCs w:val="21"/>
              </w:rPr>
            </w:pPr>
            <w:r>
              <w:rPr>
                <w:rFonts w:ascii="宋体" w:hAnsi="宋体" w:eastAsia="宋体" w:cs="宋体"/>
                <w:b/>
                <w:bCs/>
                <w:spacing w:val="-5"/>
                <w:sz w:val="21"/>
                <w:szCs w:val="21"/>
              </w:rPr>
              <w:t>序号</w:t>
            </w:r>
          </w:p>
        </w:tc>
        <w:tc>
          <w:tcPr>
            <w:tcW w:w="2222" w:type="dxa"/>
            <w:tcBorders>
              <w:left w:val="single" w:color="000000" w:sz="8" w:space="0"/>
              <w:right w:val="single" w:color="000000" w:sz="8" w:space="0"/>
            </w:tcBorders>
            <w:vAlign w:val="top"/>
          </w:tcPr>
          <w:p w14:paraId="471C9968">
            <w:pPr>
              <w:spacing w:before="34" w:line="210" w:lineRule="auto"/>
              <w:ind w:left="683"/>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检验项目</w:t>
            </w:r>
          </w:p>
        </w:tc>
        <w:tc>
          <w:tcPr>
            <w:tcW w:w="2831" w:type="dxa"/>
            <w:tcBorders>
              <w:left w:val="single" w:color="000000" w:sz="8" w:space="0"/>
              <w:right w:val="single" w:color="000000" w:sz="8" w:space="0"/>
            </w:tcBorders>
            <w:vAlign w:val="top"/>
          </w:tcPr>
          <w:p w14:paraId="2C3BAA71">
            <w:pPr>
              <w:spacing w:before="34" w:line="210" w:lineRule="auto"/>
              <w:ind w:left="991"/>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检验依据</w:t>
            </w:r>
          </w:p>
        </w:tc>
        <w:tc>
          <w:tcPr>
            <w:tcW w:w="2978" w:type="dxa"/>
            <w:tcBorders>
              <w:left w:val="single" w:color="000000" w:sz="8" w:space="0"/>
              <w:bottom w:val="single" w:color="000000" w:sz="6" w:space="0"/>
            </w:tcBorders>
            <w:vAlign w:val="top"/>
          </w:tcPr>
          <w:p w14:paraId="1F9AEBAF">
            <w:pPr>
              <w:spacing w:before="34" w:line="210" w:lineRule="auto"/>
              <w:ind w:left="1066"/>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检验方法</w:t>
            </w:r>
          </w:p>
        </w:tc>
      </w:tr>
      <w:tr w14:paraId="13C73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40" w:type="dxa"/>
            <w:tcBorders>
              <w:left w:val="single" w:color="000000" w:sz="6" w:space="0"/>
              <w:right w:val="single" w:color="000000" w:sz="8" w:space="0"/>
            </w:tcBorders>
            <w:vAlign w:val="top"/>
          </w:tcPr>
          <w:p w14:paraId="2E13E09C">
            <w:pPr>
              <w:pStyle w:val="6"/>
              <w:spacing w:before="140" w:line="188" w:lineRule="auto"/>
              <w:ind w:left="480"/>
            </w:pPr>
            <w:r>
              <w:rPr>
                <w:b/>
                <w:bCs/>
                <w:spacing w:val="4"/>
              </w:rPr>
              <w:t>1</w:t>
            </w:r>
          </w:p>
        </w:tc>
        <w:tc>
          <w:tcPr>
            <w:tcW w:w="2222" w:type="dxa"/>
            <w:tcBorders>
              <w:left w:val="single" w:color="000000" w:sz="8" w:space="0"/>
              <w:right w:val="single" w:color="000000" w:sz="8" w:space="0"/>
            </w:tcBorders>
            <w:vAlign w:val="top"/>
          </w:tcPr>
          <w:p w14:paraId="24C71EDB">
            <w:pPr>
              <w:spacing w:before="154" w:line="220" w:lineRule="auto"/>
              <w:ind w:left="797"/>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吸水率</w:t>
            </w:r>
          </w:p>
        </w:tc>
        <w:tc>
          <w:tcPr>
            <w:tcW w:w="2831" w:type="dxa"/>
            <w:tcBorders>
              <w:left w:val="single" w:color="000000" w:sz="8" w:space="0"/>
              <w:right w:val="single" w:color="000000" w:sz="8" w:space="0"/>
            </w:tcBorders>
            <w:vAlign w:val="top"/>
          </w:tcPr>
          <w:p w14:paraId="4675DD78">
            <w:pPr>
              <w:pStyle w:val="6"/>
              <w:spacing w:before="186" w:line="161" w:lineRule="exact"/>
              <w:ind w:left="623"/>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GB/T 4100—2015</w:t>
            </w:r>
          </w:p>
        </w:tc>
        <w:tc>
          <w:tcPr>
            <w:tcW w:w="2978" w:type="dxa"/>
            <w:tcBorders>
              <w:left w:val="single" w:color="000000" w:sz="8" w:space="0"/>
              <w:bottom w:val="single" w:color="000000" w:sz="6" w:space="0"/>
            </w:tcBorders>
            <w:vAlign w:val="top"/>
          </w:tcPr>
          <w:p w14:paraId="0E1A9C39">
            <w:pPr>
              <w:pStyle w:val="6"/>
              <w:spacing w:before="186" w:line="161" w:lineRule="exact"/>
              <w:ind w:left="619"/>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GB/T 3810.3—2016</w:t>
            </w:r>
          </w:p>
        </w:tc>
      </w:tr>
      <w:tr w14:paraId="32EF7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40" w:type="dxa"/>
            <w:tcBorders>
              <w:left w:val="single" w:color="000000" w:sz="6" w:space="0"/>
              <w:right w:val="single" w:color="000000" w:sz="8" w:space="0"/>
            </w:tcBorders>
            <w:vAlign w:val="top"/>
          </w:tcPr>
          <w:p w14:paraId="5DCC0CDE">
            <w:pPr>
              <w:pStyle w:val="6"/>
              <w:spacing w:before="143" w:line="188" w:lineRule="auto"/>
              <w:ind w:left="459"/>
            </w:pPr>
            <w:r>
              <w:rPr>
                <w:b/>
                <w:bCs/>
              </w:rPr>
              <w:t>2</w:t>
            </w:r>
          </w:p>
        </w:tc>
        <w:tc>
          <w:tcPr>
            <w:tcW w:w="2222" w:type="dxa"/>
            <w:tcBorders>
              <w:left w:val="single" w:color="000000" w:sz="8" w:space="0"/>
              <w:right w:val="single" w:color="000000" w:sz="8" w:space="0"/>
            </w:tcBorders>
            <w:vAlign w:val="top"/>
          </w:tcPr>
          <w:p w14:paraId="6CDAA058">
            <w:pPr>
              <w:spacing w:before="155" w:line="220" w:lineRule="auto"/>
              <w:ind w:left="691"/>
              <w:rPr>
                <w:rFonts w:hint="eastAsia" w:ascii="宋体" w:hAnsi="宋体" w:eastAsia="宋体" w:cs="宋体"/>
                <w:b/>
                <w:bCs/>
                <w:snapToGrid w:val="0"/>
                <w:color w:val="000000"/>
                <w:spacing w:val="-9"/>
                <w:kern w:val="0"/>
                <w:sz w:val="21"/>
                <w:szCs w:val="21"/>
                <w:lang w:val="en-US" w:eastAsia="zh-CN" w:bidi="ar-SA"/>
              </w:rPr>
            </w:pPr>
            <w:r>
              <w:rPr>
                <w:rFonts w:hint="eastAsia" w:ascii="宋体" w:hAnsi="宋体" w:eastAsia="宋体" w:cs="宋体"/>
                <w:b/>
                <w:bCs/>
                <w:snapToGrid w:val="0"/>
                <w:color w:val="000000"/>
                <w:spacing w:val="-9"/>
                <w:kern w:val="0"/>
                <w:sz w:val="21"/>
                <w:szCs w:val="21"/>
                <w:lang w:val="en-US" w:eastAsia="zh-CN" w:bidi="ar-SA"/>
              </w:rPr>
              <w:t>长度</w:t>
            </w:r>
          </w:p>
        </w:tc>
        <w:tc>
          <w:tcPr>
            <w:tcW w:w="2831" w:type="dxa"/>
            <w:tcBorders>
              <w:left w:val="single" w:color="000000" w:sz="8" w:space="0"/>
              <w:right w:val="single" w:color="000000" w:sz="8" w:space="0"/>
            </w:tcBorders>
            <w:vAlign w:val="top"/>
          </w:tcPr>
          <w:p w14:paraId="68B2BD78">
            <w:pPr>
              <w:pStyle w:val="6"/>
              <w:spacing w:before="187" w:line="161" w:lineRule="exact"/>
              <w:ind w:left="622"/>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GB/T 4100—2015</w:t>
            </w:r>
          </w:p>
        </w:tc>
        <w:tc>
          <w:tcPr>
            <w:tcW w:w="2978" w:type="dxa"/>
            <w:tcBorders>
              <w:left w:val="single" w:color="000000" w:sz="8" w:space="0"/>
              <w:bottom w:val="single" w:color="000000" w:sz="6" w:space="0"/>
            </w:tcBorders>
            <w:vAlign w:val="top"/>
          </w:tcPr>
          <w:p w14:paraId="38F1CEDD">
            <w:pPr>
              <w:pStyle w:val="6"/>
              <w:spacing w:before="187" w:line="161" w:lineRule="exact"/>
              <w:ind w:left="619"/>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GB/T 4100—2015</w:t>
            </w:r>
          </w:p>
        </w:tc>
      </w:tr>
      <w:tr w14:paraId="0C78D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40" w:type="dxa"/>
            <w:tcBorders>
              <w:left w:val="single" w:color="000000" w:sz="6" w:space="0"/>
              <w:right w:val="single" w:color="000000" w:sz="8" w:space="0"/>
            </w:tcBorders>
            <w:vAlign w:val="top"/>
          </w:tcPr>
          <w:p w14:paraId="2DE9A9FD">
            <w:pPr>
              <w:pStyle w:val="6"/>
              <w:spacing w:before="144" w:line="157" w:lineRule="exact"/>
              <w:ind w:left="464"/>
            </w:pPr>
            <w:r>
              <w:rPr>
                <w:b/>
                <w:bCs/>
                <w:spacing w:val="1"/>
                <w:position w:val="2"/>
              </w:rPr>
              <w:t>3</w:t>
            </w:r>
          </w:p>
        </w:tc>
        <w:tc>
          <w:tcPr>
            <w:tcW w:w="2222" w:type="dxa"/>
            <w:tcBorders>
              <w:left w:val="single" w:color="000000" w:sz="8" w:space="0"/>
              <w:right w:val="single" w:color="000000" w:sz="8" w:space="0"/>
            </w:tcBorders>
            <w:vAlign w:val="top"/>
          </w:tcPr>
          <w:p w14:paraId="5E29E011">
            <w:pPr>
              <w:spacing w:before="158" w:line="221" w:lineRule="auto"/>
              <w:ind w:left="682"/>
              <w:rPr>
                <w:rFonts w:hint="eastAsia" w:ascii="宋体" w:hAnsi="宋体" w:eastAsia="宋体" w:cs="宋体"/>
                <w:b/>
                <w:bCs/>
                <w:snapToGrid w:val="0"/>
                <w:color w:val="000000"/>
                <w:spacing w:val="-9"/>
                <w:kern w:val="0"/>
                <w:sz w:val="21"/>
                <w:szCs w:val="21"/>
                <w:lang w:val="en-US" w:eastAsia="zh-CN" w:bidi="ar-SA"/>
              </w:rPr>
            </w:pPr>
            <w:r>
              <w:rPr>
                <w:rFonts w:hint="eastAsia" w:ascii="宋体" w:hAnsi="宋体" w:eastAsia="宋体" w:cs="宋体"/>
                <w:b/>
                <w:bCs/>
                <w:snapToGrid w:val="0"/>
                <w:color w:val="000000"/>
                <w:spacing w:val="-9"/>
                <w:kern w:val="0"/>
                <w:sz w:val="21"/>
                <w:szCs w:val="21"/>
                <w:lang w:val="en-US" w:eastAsia="zh-CN" w:bidi="ar-SA"/>
              </w:rPr>
              <w:t>宽度</w:t>
            </w:r>
          </w:p>
        </w:tc>
        <w:tc>
          <w:tcPr>
            <w:tcW w:w="2831" w:type="dxa"/>
            <w:tcBorders>
              <w:left w:val="single" w:color="000000" w:sz="8" w:space="0"/>
              <w:right w:val="single" w:color="000000" w:sz="8" w:space="0"/>
            </w:tcBorders>
            <w:vAlign w:val="top"/>
          </w:tcPr>
          <w:p w14:paraId="71FDDDF4">
            <w:pPr>
              <w:pStyle w:val="6"/>
              <w:spacing w:before="191" w:line="161" w:lineRule="exact"/>
              <w:ind w:left="622"/>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GB/T 4100—2015</w:t>
            </w:r>
          </w:p>
        </w:tc>
        <w:tc>
          <w:tcPr>
            <w:tcW w:w="2978" w:type="dxa"/>
            <w:tcBorders>
              <w:left w:val="single" w:color="000000" w:sz="8" w:space="0"/>
              <w:bottom w:val="single" w:color="000000" w:sz="6" w:space="0"/>
            </w:tcBorders>
            <w:vAlign w:val="top"/>
          </w:tcPr>
          <w:p w14:paraId="52E1D439">
            <w:pPr>
              <w:pStyle w:val="6"/>
              <w:spacing w:before="191" w:line="161" w:lineRule="exact"/>
              <w:ind w:left="619"/>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GB/T 4100—2015</w:t>
            </w:r>
          </w:p>
        </w:tc>
      </w:tr>
      <w:tr w14:paraId="17D83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40" w:type="dxa"/>
            <w:tcBorders>
              <w:left w:val="single" w:color="000000" w:sz="6" w:space="0"/>
              <w:right w:val="single" w:color="000000" w:sz="8" w:space="0"/>
            </w:tcBorders>
            <w:vAlign w:val="top"/>
          </w:tcPr>
          <w:p w14:paraId="61C9A82A">
            <w:pPr>
              <w:pStyle w:val="6"/>
              <w:spacing w:before="143" w:line="157" w:lineRule="exact"/>
              <w:ind w:left="458"/>
            </w:pPr>
            <w:r>
              <w:rPr>
                <w:b/>
                <w:bCs/>
                <w:position w:val="2"/>
              </w:rPr>
              <w:t>4</w:t>
            </w:r>
          </w:p>
        </w:tc>
        <w:tc>
          <w:tcPr>
            <w:tcW w:w="2222" w:type="dxa"/>
            <w:tcBorders>
              <w:left w:val="single" w:color="000000" w:sz="8" w:space="0"/>
              <w:right w:val="single" w:color="000000" w:sz="8" w:space="0"/>
            </w:tcBorders>
            <w:vAlign w:val="top"/>
          </w:tcPr>
          <w:p w14:paraId="0F12E152">
            <w:pPr>
              <w:spacing w:before="157" w:line="221" w:lineRule="auto"/>
              <w:ind w:left="476" w:firstLine="193" w:firstLineChars="100"/>
              <w:rPr>
                <w:rFonts w:hint="eastAsia" w:ascii="宋体" w:hAnsi="宋体" w:eastAsia="宋体" w:cs="宋体"/>
                <w:b/>
                <w:bCs/>
                <w:snapToGrid w:val="0"/>
                <w:color w:val="000000"/>
                <w:spacing w:val="-9"/>
                <w:kern w:val="0"/>
                <w:sz w:val="21"/>
                <w:szCs w:val="21"/>
                <w:lang w:val="en-US" w:eastAsia="zh-CN" w:bidi="ar-SA"/>
              </w:rPr>
            </w:pPr>
            <w:r>
              <w:rPr>
                <w:rFonts w:hint="eastAsia" w:ascii="宋体" w:hAnsi="宋体" w:eastAsia="宋体" w:cs="宋体"/>
                <w:b/>
                <w:bCs/>
                <w:snapToGrid w:val="0"/>
                <w:color w:val="000000"/>
                <w:spacing w:val="-9"/>
                <w:kern w:val="0"/>
                <w:sz w:val="21"/>
                <w:szCs w:val="21"/>
                <w:lang w:val="en-US" w:eastAsia="zh-CN" w:bidi="ar-SA"/>
              </w:rPr>
              <w:t>厚度</w:t>
            </w:r>
          </w:p>
        </w:tc>
        <w:tc>
          <w:tcPr>
            <w:tcW w:w="2831" w:type="dxa"/>
            <w:tcBorders>
              <w:left w:val="single" w:color="000000" w:sz="8" w:space="0"/>
              <w:right w:val="single" w:color="000000" w:sz="8" w:space="0"/>
            </w:tcBorders>
            <w:vAlign w:val="top"/>
          </w:tcPr>
          <w:p w14:paraId="20800611">
            <w:pPr>
              <w:pStyle w:val="6"/>
              <w:spacing w:before="189" w:line="161" w:lineRule="exact"/>
              <w:ind w:left="622"/>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GB/T 4100—2015</w:t>
            </w:r>
          </w:p>
        </w:tc>
        <w:tc>
          <w:tcPr>
            <w:tcW w:w="2978" w:type="dxa"/>
            <w:tcBorders>
              <w:left w:val="single" w:color="000000" w:sz="8" w:space="0"/>
              <w:bottom w:val="single" w:color="000000" w:sz="6" w:space="0"/>
            </w:tcBorders>
            <w:vAlign w:val="top"/>
          </w:tcPr>
          <w:p w14:paraId="6AAD1D60">
            <w:pPr>
              <w:pStyle w:val="6"/>
              <w:spacing w:before="189" w:line="161" w:lineRule="exact"/>
              <w:ind w:left="619"/>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GB/T 4100—2015</w:t>
            </w:r>
          </w:p>
        </w:tc>
      </w:tr>
      <w:tr w14:paraId="4EA57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40" w:type="dxa"/>
            <w:tcBorders>
              <w:left w:val="single" w:color="000000" w:sz="6" w:space="0"/>
              <w:right w:val="single" w:color="000000" w:sz="8" w:space="0"/>
            </w:tcBorders>
            <w:vAlign w:val="top"/>
          </w:tcPr>
          <w:p w14:paraId="28DB2FA3">
            <w:pPr>
              <w:pStyle w:val="6"/>
              <w:spacing w:before="148" w:line="154" w:lineRule="exact"/>
              <w:ind w:left="465"/>
            </w:pPr>
            <w:r>
              <w:rPr>
                <w:b/>
                <w:bCs/>
                <w:position w:val="2"/>
              </w:rPr>
              <w:t>5</w:t>
            </w:r>
          </w:p>
        </w:tc>
        <w:tc>
          <w:tcPr>
            <w:tcW w:w="2222" w:type="dxa"/>
            <w:tcBorders>
              <w:left w:val="single" w:color="000000" w:sz="8" w:space="0"/>
              <w:right w:val="single" w:color="000000" w:sz="8" w:space="0"/>
            </w:tcBorders>
            <w:vAlign w:val="top"/>
          </w:tcPr>
          <w:p w14:paraId="6237A8D8">
            <w:pPr>
              <w:spacing w:before="157" w:line="220" w:lineRule="auto"/>
              <w:ind w:left="683"/>
              <w:rPr>
                <w:rFonts w:hint="eastAsia" w:ascii="宋体" w:hAnsi="宋体" w:eastAsia="宋体" w:cs="宋体"/>
                <w:b/>
                <w:bCs/>
                <w:snapToGrid w:val="0"/>
                <w:color w:val="000000"/>
                <w:spacing w:val="-9"/>
                <w:kern w:val="0"/>
                <w:sz w:val="21"/>
                <w:szCs w:val="21"/>
                <w:lang w:val="en-US" w:eastAsia="zh-CN" w:bidi="ar-SA"/>
              </w:rPr>
            </w:pPr>
            <w:r>
              <w:rPr>
                <w:rFonts w:hint="eastAsia" w:ascii="宋体" w:hAnsi="宋体" w:eastAsia="宋体" w:cs="宋体"/>
                <w:b/>
                <w:bCs/>
                <w:snapToGrid w:val="0"/>
                <w:color w:val="000000"/>
                <w:spacing w:val="-9"/>
                <w:kern w:val="0"/>
                <w:sz w:val="21"/>
                <w:szCs w:val="21"/>
                <w:lang w:val="en-US" w:eastAsia="zh-CN" w:bidi="ar-SA"/>
              </w:rPr>
              <w:t>边直度</w:t>
            </w:r>
          </w:p>
        </w:tc>
        <w:tc>
          <w:tcPr>
            <w:tcW w:w="2831" w:type="dxa"/>
            <w:tcBorders>
              <w:left w:val="single" w:color="000000" w:sz="8" w:space="0"/>
              <w:right w:val="single" w:color="000000" w:sz="8" w:space="0"/>
            </w:tcBorders>
            <w:vAlign w:val="top"/>
          </w:tcPr>
          <w:p w14:paraId="144E29B9">
            <w:pPr>
              <w:pStyle w:val="6"/>
              <w:spacing w:before="189" w:line="161" w:lineRule="exact"/>
              <w:ind w:left="622"/>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GB/T 4100—2015</w:t>
            </w:r>
          </w:p>
        </w:tc>
        <w:tc>
          <w:tcPr>
            <w:tcW w:w="2978" w:type="dxa"/>
            <w:tcBorders>
              <w:left w:val="single" w:color="000000" w:sz="8" w:space="0"/>
              <w:bottom w:val="single" w:color="000000" w:sz="6" w:space="0"/>
            </w:tcBorders>
            <w:vAlign w:val="top"/>
          </w:tcPr>
          <w:p w14:paraId="0A0575FA">
            <w:pPr>
              <w:pStyle w:val="6"/>
              <w:spacing w:before="189" w:line="161" w:lineRule="exact"/>
              <w:ind w:left="570"/>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GB/T 4100—2015</w:t>
            </w:r>
          </w:p>
        </w:tc>
      </w:tr>
      <w:tr w14:paraId="7D86D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40" w:type="dxa"/>
            <w:tcBorders>
              <w:left w:val="single" w:color="000000" w:sz="6" w:space="0"/>
              <w:right w:val="single" w:color="000000" w:sz="8" w:space="0"/>
            </w:tcBorders>
            <w:vAlign w:val="top"/>
          </w:tcPr>
          <w:p w14:paraId="2CCDFD51">
            <w:pPr>
              <w:pStyle w:val="6"/>
              <w:spacing w:before="147" w:line="188" w:lineRule="auto"/>
              <w:ind w:left="464"/>
            </w:pPr>
            <w:r>
              <w:rPr>
                <w:b/>
                <w:bCs/>
              </w:rPr>
              <w:t>6</w:t>
            </w:r>
          </w:p>
        </w:tc>
        <w:tc>
          <w:tcPr>
            <w:tcW w:w="2222" w:type="dxa"/>
            <w:tcBorders>
              <w:left w:val="single" w:color="000000" w:sz="8" w:space="0"/>
              <w:right w:val="single" w:color="000000" w:sz="8" w:space="0"/>
            </w:tcBorders>
            <w:vAlign w:val="top"/>
          </w:tcPr>
          <w:p w14:paraId="0DC6E4A0">
            <w:pPr>
              <w:spacing w:before="160" w:line="221" w:lineRule="auto"/>
              <w:ind w:left="686"/>
              <w:rPr>
                <w:rFonts w:hint="eastAsia" w:ascii="宋体" w:hAnsi="宋体" w:eastAsia="宋体" w:cs="宋体"/>
                <w:b/>
                <w:bCs/>
                <w:snapToGrid w:val="0"/>
                <w:color w:val="000000"/>
                <w:spacing w:val="-9"/>
                <w:kern w:val="0"/>
                <w:sz w:val="21"/>
                <w:szCs w:val="21"/>
                <w:lang w:val="en-US" w:eastAsia="zh-CN" w:bidi="ar-SA"/>
              </w:rPr>
            </w:pPr>
            <w:r>
              <w:rPr>
                <w:rFonts w:hint="eastAsia" w:ascii="宋体" w:hAnsi="宋体" w:eastAsia="宋体" w:cs="宋体"/>
                <w:b/>
                <w:bCs/>
                <w:snapToGrid w:val="0"/>
                <w:color w:val="000000"/>
                <w:spacing w:val="-9"/>
                <w:kern w:val="0"/>
                <w:sz w:val="21"/>
                <w:szCs w:val="21"/>
                <w:lang w:val="en-US" w:eastAsia="zh-CN" w:bidi="ar-SA"/>
              </w:rPr>
              <w:t>直角度</w:t>
            </w:r>
          </w:p>
        </w:tc>
        <w:tc>
          <w:tcPr>
            <w:tcW w:w="2831" w:type="dxa"/>
            <w:tcBorders>
              <w:left w:val="single" w:color="000000" w:sz="8" w:space="0"/>
              <w:right w:val="single" w:color="000000" w:sz="8" w:space="0"/>
            </w:tcBorders>
            <w:vAlign w:val="top"/>
          </w:tcPr>
          <w:p w14:paraId="611063CF">
            <w:pPr>
              <w:pStyle w:val="6"/>
              <w:spacing w:before="193" w:line="161" w:lineRule="exact"/>
              <w:ind w:left="622"/>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GB/T 4100—2015</w:t>
            </w:r>
          </w:p>
        </w:tc>
        <w:tc>
          <w:tcPr>
            <w:tcW w:w="2978" w:type="dxa"/>
            <w:tcBorders>
              <w:left w:val="single" w:color="000000" w:sz="8" w:space="0"/>
              <w:bottom w:val="single" w:color="000000" w:sz="6" w:space="0"/>
            </w:tcBorders>
            <w:vAlign w:val="top"/>
          </w:tcPr>
          <w:p w14:paraId="39F0EF45">
            <w:pPr>
              <w:pStyle w:val="6"/>
              <w:spacing w:before="193" w:line="161" w:lineRule="exact"/>
              <w:ind w:left="566"/>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GB/T 4100—2015</w:t>
            </w:r>
          </w:p>
        </w:tc>
      </w:tr>
      <w:tr w14:paraId="344E1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40" w:type="dxa"/>
            <w:tcBorders>
              <w:left w:val="single" w:color="000000" w:sz="6" w:space="0"/>
              <w:right w:val="single" w:color="000000" w:sz="8" w:space="0"/>
            </w:tcBorders>
            <w:vAlign w:val="top"/>
          </w:tcPr>
          <w:p w14:paraId="3F3BB9AC">
            <w:pPr>
              <w:pStyle w:val="6"/>
              <w:spacing w:before="148" w:line="159" w:lineRule="exact"/>
              <w:ind w:left="463"/>
            </w:pPr>
            <w:r>
              <w:rPr>
                <w:b/>
                <w:bCs/>
                <w:position w:val="2"/>
              </w:rPr>
              <w:t>7</w:t>
            </w:r>
          </w:p>
        </w:tc>
        <w:tc>
          <w:tcPr>
            <w:tcW w:w="2222" w:type="dxa"/>
            <w:tcBorders>
              <w:left w:val="single" w:color="000000" w:sz="8" w:space="0"/>
              <w:right w:val="single" w:color="000000" w:sz="8" w:space="0"/>
            </w:tcBorders>
            <w:vAlign w:val="top"/>
          </w:tcPr>
          <w:p w14:paraId="7E8FF2BB">
            <w:pPr>
              <w:spacing w:before="159" w:line="220" w:lineRule="auto"/>
              <w:ind w:left="474" w:firstLine="193" w:firstLineChars="100"/>
              <w:rPr>
                <w:rFonts w:hint="default" w:ascii="宋体" w:hAnsi="宋体" w:eastAsia="宋体" w:cs="宋体"/>
                <w:b/>
                <w:bCs/>
                <w:snapToGrid w:val="0"/>
                <w:color w:val="000000"/>
                <w:spacing w:val="-9"/>
                <w:kern w:val="0"/>
                <w:sz w:val="21"/>
                <w:szCs w:val="21"/>
                <w:lang w:val="en-US" w:eastAsia="zh-CN" w:bidi="ar-SA"/>
              </w:rPr>
            </w:pPr>
            <w:r>
              <w:rPr>
                <w:rFonts w:hint="eastAsia" w:ascii="宋体" w:hAnsi="宋体" w:eastAsia="宋体" w:cs="宋体"/>
                <w:b/>
                <w:bCs/>
                <w:snapToGrid w:val="0"/>
                <w:color w:val="000000"/>
                <w:spacing w:val="-9"/>
                <w:kern w:val="0"/>
                <w:sz w:val="21"/>
                <w:szCs w:val="21"/>
                <w:lang w:val="en-US" w:eastAsia="zh-CN" w:bidi="ar-SA"/>
              </w:rPr>
              <w:t>表面平整度</w:t>
            </w:r>
          </w:p>
        </w:tc>
        <w:tc>
          <w:tcPr>
            <w:tcW w:w="2831" w:type="dxa"/>
            <w:tcBorders>
              <w:left w:val="single" w:color="000000" w:sz="8" w:space="0"/>
              <w:right w:val="single" w:color="000000" w:sz="8" w:space="0"/>
            </w:tcBorders>
            <w:vAlign w:val="top"/>
          </w:tcPr>
          <w:p w14:paraId="60FD6527">
            <w:pPr>
              <w:pStyle w:val="6"/>
              <w:spacing w:before="191" w:line="161" w:lineRule="exact"/>
              <w:ind w:left="622"/>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GB/T 4100—2015</w:t>
            </w:r>
          </w:p>
        </w:tc>
        <w:tc>
          <w:tcPr>
            <w:tcW w:w="2978" w:type="dxa"/>
            <w:tcBorders>
              <w:left w:val="single" w:color="000000" w:sz="8" w:space="0"/>
            </w:tcBorders>
            <w:vAlign w:val="top"/>
          </w:tcPr>
          <w:p w14:paraId="7763C9A5">
            <w:pPr>
              <w:pStyle w:val="6"/>
              <w:spacing w:before="191" w:line="161" w:lineRule="exact"/>
              <w:ind w:left="566"/>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GB/T 4100—2015</w:t>
            </w:r>
          </w:p>
        </w:tc>
      </w:tr>
      <w:tr w14:paraId="5519D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040" w:type="dxa"/>
            <w:vAlign w:val="top"/>
          </w:tcPr>
          <w:p w14:paraId="236A1C4D">
            <w:pPr>
              <w:pStyle w:val="6"/>
              <w:spacing w:before="158" w:line="188" w:lineRule="auto"/>
              <w:ind w:left="473"/>
            </w:pPr>
            <w:r>
              <w:rPr>
                <w:b/>
                <w:bCs/>
              </w:rPr>
              <w:t>8</w:t>
            </w:r>
          </w:p>
        </w:tc>
        <w:tc>
          <w:tcPr>
            <w:tcW w:w="2222" w:type="dxa"/>
            <w:vAlign w:val="top"/>
          </w:tcPr>
          <w:p w14:paraId="48D6FFF4">
            <w:pPr>
              <w:spacing w:before="170" w:line="220" w:lineRule="auto"/>
              <w:ind w:firstLine="578" w:firstLineChars="300"/>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放射性核素</w:t>
            </w:r>
          </w:p>
        </w:tc>
        <w:tc>
          <w:tcPr>
            <w:tcW w:w="2831" w:type="dxa"/>
            <w:vAlign w:val="top"/>
          </w:tcPr>
          <w:p w14:paraId="2DA8EDC7">
            <w:pPr>
              <w:pStyle w:val="6"/>
              <w:spacing w:before="206" w:line="157" w:lineRule="exact"/>
              <w:ind w:left="721"/>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GB 6566—2010</w:t>
            </w:r>
          </w:p>
        </w:tc>
        <w:tc>
          <w:tcPr>
            <w:tcW w:w="2978" w:type="dxa"/>
            <w:vAlign w:val="top"/>
          </w:tcPr>
          <w:p w14:paraId="23EE0D40">
            <w:pPr>
              <w:pStyle w:val="6"/>
              <w:spacing w:before="206" w:line="157" w:lineRule="exact"/>
              <w:ind w:left="796"/>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GB 6566—2010</w:t>
            </w:r>
          </w:p>
        </w:tc>
      </w:tr>
      <w:tr w14:paraId="73EC6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040" w:type="dxa"/>
            <w:vAlign w:val="top"/>
          </w:tcPr>
          <w:p w14:paraId="1D34B6D7">
            <w:pPr>
              <w:pStyle w:val="6"/>
              <w:spacing w:before="158" w:line="188" w:lineRule="auto"/>
              <w:ind w:left="473"/>
              <w:rPr>
                <w:rFonts w:hint="eastAsia" w:eastAsia="宋体"/>
                <w:b/>
                <w:bCs/>
                <w:lang w:val="en-US" w:eastAsia="zh-CN"/>
              </w:rPr>
            </w:pPr>
            <w:r>
              <w:rPr>
                <w:rFonts w:hint="eastAsia" w:eastAsia="宋体"/>
                <w:b/>
                <w:bCs/>
                <w:lang w:val="en-US" w:eastAsia="zh-CN"/>
              </w:rPr>
              <w:t>9</w:t>
            </w:r>
          </w:p>
        </w:tc>
        <w:tc>
          <w:tcPr>
            <w:tcW w:w="2222" w:type="dxa"/>
            <w:vAlign w:val="top"/>
          </w:tcPr>
          <w:p w14:paraId="04F63E38">
            <w:pPr>
              <w:spacing w:before="170" w:line="220" w:lineRule="auto"/>
              <w:ind w:left="585"/>
              <w:rPr>
                <w:rFonts w:hint="eastAsia" w:ascii="宋体" w:hAnsi="宋体" w:eastAsia="宋体" w:cs="宋体"/>
                <w:b/>
                <w:bCs/>
                <w:snapToGrid w:val="0"/>
                <w:color w:val="000000"/>
                <w:spacing w:val="-9"/>
                <w:kern w:val="0"/>
                <w:sz w:val="21"/>
                <w:szCs w:val="21"/>
                <w:lang w:val="en-US" w:eastAsia="zh-CN" w:bidi="ar-SA"/>
              </w:rPr>
            </w:pPr>
            <w:r>
              <w:rPr>
                <w:rFonts w:hint="eastAsia" w:ascii="宋体" w:hAnsi="宋体" w:eastAsia="宋体" w:cs="宋体"/>
                <w:b/>
                <w:bCs/>
                <w:snapToGrid w:val="0"/>
                <w:color w:val="000000"/>
                <w:spacing w:val="-9"/>
                <w:kern w:val="0"/>
                <w:sz w:val="21"/>
                <w:szCs w:val="21"/>
                <w:lang w:val="en-US" w:eastAsia="zh-CN" w:bidi="ar-SA"/>
              </w:rPr>
              <w:t>表面质量</w:t>
            </w:r>
          </w:p>
        </w:tc>
        <w:tc>
          <w:tcPr>
            <w:tcW w:w="2831" w:type="dxa"/>
            <w:vAlign w:val="top"/>
          </w:tcPr>
          <w:p w14:paraId="6381A099">
            <w:pPr>
              <w:pStyle w:val="6"/>
              <w:spacing w:before="206" w:line="157" w:lineRule="exact"/>
              <w:ind w:left="721"/>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GB/T 4100—2015</w:t>
            </w:r>
          </w:p>
        </w:tc>
        <w:tc>
          <w:tcPr>
            <w:tcW w:w="2978" w:type="dxa"/>
            <w:vAlign w:val="top"/>
          </w:tcPr>
          <w:p w14:paraId="5F3857FC">
            <w:pPr>
              <w:pStyle w:val="6"/>
              <w:spacing w:before="206" w:line="157" w:lineRule="exact"/>
              <w:ind w:left="796"/>
              <w:rPr>
                <w:rFonts w:ascii="宋体" w:hAnsi="宋体" w:eastAsia="宋体" w:cs="宋体"/>
                <w:b/>
                <w:bCs/>
                <w:snapToGrid w:val="0"/>
                <w:color w:val="000000"/>
                <w:spacing w:val="-9"/>
                <w:kern w:val="0"/>
                <w:sz w:val="21"/>
                <w:szCs w:val="21"/>
                <w:lang w:val="en-US" w:eastAsia="en-US" w:bidi="ar-SA"/>
              </w:rPr>
            </w:pPr>
            <w:r>
              <w:rPr>
                <w:rFonts w:ascii="宋体" w:hAnsi="宋体" w:eastAsia="宋体" w:cs="宋体"/>
                <w:b/>
                <w:bCs/>
                <w:snapToGrid w:val="0"/>
                <w:color w:val="000000"/>
                <w:spacing w:val="-9"/>
                <w:kern w:val="0"/>
                <w:sz w:val="21"/>
                <w:szCs w:val="21"/>
                <w:lang w:val="en-US" w:eastAsia="en-US" w:bidi="ar-SA"/>
              </w:rPr>
              <w:t>GB/T 4100—2015</w:t>
            </w:r>
          </w:p>
        </w:tc>
      </w:tr>
    </w:tbl>
    <w:p w14:paraId="2015ABDC">
      <w:pPr>
        <w:pStyle w:val="2"/>
        <w:spacing w:before="171" w:line="220" w:lineRule="auto"/>
        <w:ind w:left="541"/>
      </w:pPr>
      <w:r>
        <w:rPr>
          <w:b/>
          <w:bCs/>
          <w:spacing w:val="-2"/>
        </w:rPr>
        <w:t>执行企业标准、团体标准、地方标准的产品，检</w:t>
      </w:r>
      <w:r>
        <w:rPr>
          <w:b/>
          <w:bCs/>
          <w:spacing w:val="-3"/>
        </w:rPr>
        <w:t>验项目参照上述内容执行。</w:t>
      </w:r>
    </w:p>
    <w:p w14:paraId="55EF2F2A">
      <w:pPr>
        <w:pStyle w:val="2"/>
        <w:spacing w:before="190" w:line="372" w:lineRule="auto"/>
        <w:ind w:left="125" w:right="766" w:firstLine="420"/>
      </w:pPr>
      <w:r>
        <w:rPr>
          <w:b/>
          <w:bCs/>
          <w:spacing w:val="-5"/>
        </w:rPr>
        <w:t>凡是注日期的文件，其随后所有的修改单（不包括勘误的内容）或修订版不适用于本细</w:t>
      </w:r>
      <w:r>
        <w:rPr>
          <w:spacing w:val="3"/>
        </w:rPr>
        <w:t xml:space="preserve"> </w:t>
      </w:r>
      <w:r>
        <w:rPr>
          <w:b/>
          <w:bCs/>
          <w:spacing w:val="-3"/>
        </w:rPr>
        <w:t>则。凡是不注日期的文件，其最新版本适用于本细则。</w:t>
      </w:r>
    </w:p>
    <w:p w14:paraId="2C9D1600">
      <w:pPr>
        <w:spacing w:line="388" w:lineRule="auto"/>
        <w:rPr>
          <w:rFonts w:ascii="Arial"/>
          <w:sz w:val="21"/>
        </w:rPr>
      </w:pPr>
    </w:p>
    <w:p w14:paraId="312C6B26">
      <w:pPr>
        <w:pStyle w:val="2"/>
        <w:spacing w:before="171" w:line="220" w:lineRule="auto"/>
        <w:ind w:left="541"/>
      </w:pPr>
      <w:r>
        <w:rPr>
          <w:rFonts w:ascii="Constantia" w:hAnsi="Constantia" w:eastAsia="Constantia" w:cs="Constantia"/>
          <w:b/>
          <w:bCs/>
          <w:spacing w:val="-3"/>
        </w:rPr>
        <w:t>3</w:t>
      </w:r>
      <w:r>
        <w:rPr>
          <w:rFonts w:ascii="Constantia" w:hAnsi="Constantia" w:eastAsia="Constantia" w:cs="Constantia"/>
          <w:b/>
          <w:bCs/>
          <w:spacing w:val="7"/>
        </w:rPr>
        <w:t xml:space="preserve">  </w:t>
      </w:r>
      <w:r>
        <w:rPr>
          <w:b/>
          <w:bCs/>
          <w:spacing w:val="-3"/>
        </w:rPr>
        <w:t>判定规则</w:t>
      </w:r>
      <w:r>
        <w:t xml:space="preserve"> </w:t>
      </w:r>
    </w:p>
    <w:p w14:paraId="69867893">
      <w:pPr>
        <w:pStyle w:val="2"/>
        <w:spacing w:before="171" w:line="220" w:lineRule="auto"/>
        <w:ind w:left="541"/>
        <w:rPr>
          <w:b/>
          <w:bCs/>
          <w:spacing w:val="-2"/>
        </w:rPr>
      </w:pPr>
      <w:r>
        <w:t xml:space="preserve"> </w:t>
      </w:r>
      <w:r>
        <w:rPr>
          <w:b/>
          <w:bCs/>
          <w:spacing w:val="-2"/>
        </w:rPr>
        <w:t>3.1 依据标准</w:t>
      </w:r>
    </w:p>
    <w:p w14:paraId="595AEE1B">
      <w:pPr>
        <w:pStyle w:val="2"/>
        <w:spacing w:before="171" w:line="220" w:lineRule="auto"/>
        <w:ind w:left="541"/>
        <w:rPr>
          <w:b/>
          <w:bCs/>
          <w:spacing w:val="-2"/>
        </w:rPr>
      </w:pPr>
      <w:r>
        <w:rPr>
          <w:b/>
          <w:bCs/>
          <w:spacing w:val="-2"/>
        </w:rPr>
        <w:t>GB 6566—2010  建筑材料放射性核素</w:t>
      </w:r>
      <w:r>
        <w:rPr>
          <w:rFonts w:hint="eastAsia"/>
          <w:b/>
          <w:bCs/>
          <w:spacing w:val="-2"/>
          <w:lang w:val="en-US" w:eastAsia="zh-CN"/>
        </w:rPr>
        <w:t>限</w:t>
      </w:r>
      <w:r>
        <w:rPr>
          <w:b/>
          <w:bCs/>
          <w:spacing w:val="-2"/>
        </w:rPr>
        <w:t>量</w:t>
      </w:r>
    </w:p>
    <w:p w14:paraId="4116BD98">
      <w:pPr>
        <w:pStyle w:val="2"/>
        <w:spacing w:before="171" w:line="220" w:lineRule="auto"/>
        <w:ind w:left="541"/>
        <w:rPr>
          <w:b/>
          <w:bCs/>
          <w:spacing w:val="-2"/>
        </w:rPr>
      </w:pPr>
      <w:r>
        <w:rPr>
          <w:b/>
          <w:bCs/>
          <w:spacing w:val="-2"/>
        </w:rPr>
        <w:t xml:space="preserve"> GB/T 4100—2015  陶瓷砖</w:t>
      </w:r>
    </w:p>
    <w:p w14:paraId="3579163C">
      <w:pPr>
        <w:pStyle w:val="2"/>
        <w:spacing w:before="171" w:line="220" w:lineRule="auto"/>
        <w:ind w:left="541"/>
        <w:rPr>
          <w:b/>
          <w:bCs/>
          <w:spacing w:val="-2"/>
        </w:rPr>
      </w:pPr>
      <w:r>
        <w:rPr>
          <w:b/>
          <w:bCs/>
          <w:spacing w:val="-2"/>
        </w:rPr>
        <w:t>现行有效的企业标准、团体标准、地方标准及产品明示质量要求</w:t>
      </w:r>
    </w:p>
    <w:p w14:paraId="24C36996">
      <w:pPr>
        <w:pStyle w:val="2"/>
        <w:spacing w:before="171" w:line="220" w:lineRule="auto"/>
        <w:ind w:left="541"/>
        <w:rPr>
          <w:b/>
          <w:bCs/>
          <w:spacing w:val="-2"/>
        </w:rPr>
      </w:pPr>
      <w:r>
        <w:rPr>
          <w:b/>
          <w:bCs/>
          <w:spacing w:val="-2"/>
        </w:rPr>
        <w:t>3.2 判定原则</w:t>
      </w:r>
    </w:p>
    <w:p w14:paraId="38E4C52C">
      <w:pPr>
        <w:pStyle w:val="2"/>
        <w:spacing w:before="171" w:line="220" w:lineRule="auto"/>
        <w:ind w:left="541"/>
        <w:rPr>
          <w:b/>
          <w:bCs/>
          <w:spacing w:val="-2"/>
        </w:rPr>
      </w:pPr>
      <w:r>
        <w:rPr>
          <w:b/>
          <w:bCs/>
          <w:spacing w:val="-2"/>
        </w:rPr>
        <w:t>经检验，检验项目全部合格，判定为被抽查产品所检项目未发现不合格；检验项目中任 一项或一项以上不合格，判定为被抽查产品不合格。</w:t>
      </w:r>
    </w:p>
    <w:p w14:paraId="1CC852BC">
      <w:pPr>
        <w:pStyle w:val="2"/>
        <w:spacing w:before="171" w:line="220" w:lineRule="auto"/>
        <w:ind w:left="541"/>
        <w:rPr>
          <w:b/>
          <w:bCs/>
          <w:spacing w:val="-2"/>
        </w:rPr>
      </w:pPr>
      <w:r>
        <w:rPr>
          <w:b/>
          <w:bCs/>
          <w:spacing w:val="-2"/>
        </w:rPr>
        <w:t>若被检产品明示的质量要求高于本细则中检验项目依据的标准要求时，应按被检产品明 示的质量要求判定。</w:t>
      </w:r>
    </w:p>
    <w:p w14:paraId="1EDE3FE9">
      <w:pPr>
        <w:pStyle w:val="2"/>
        <w:spacing w:before="171" w:line="220" w:lineRule="auto"/>
        <w:ind w:left="541"/>
      </w:pPr>
      <w:r>
        <w:rPr>
          <w:b/>
          <w:bCs/>
          <w:spacing w:val="-2"/>
        </w:rPr>
        <w:t>若被检产品明示的质量</w:t>
      </w:r>
      <w:r>
        <w:rPr>
          <w:b/>
          <w:bCs/>
          <w:spacing w:val="-5"/>
        </w:rPr>
        <w:t>要求低于本细则中检验项目依据的强制性标准要求时，应按照强</w:t>
      </w:r>
      <w:r>
        <w:rPr>
          <w:spacing w:val="8"/>
        </w:rPr>
        <w:t xml:space="preserve"> </w:t>
      </w:r>
      <w:r>
        <w:rPr>
          <w:b/>
          <w:bCs/>
          <w:spacing w:val="-3"/>
        </w:rPr>
        <w:t>制性标准要求判定。</w:t>
      </w:r>
    </w:p>
    <w:p w14:paraId="4CC572D6">
      <w:pPr>
        <w:pStyle w:val="2"/>
        <w:spacing w:before="31" w:line="373" w:lineRule="auto"/>
        <w:ind w:left="46" w:right="10" w:firstLine="394"/>
      </w:pPr>
      <w:r>
        <w:rPr>
          <w:b/>
          <w:bCs/>
          <w:spacing w:val="-5"/>
        </w:rPr>
        <w:t>若被检产品明示的质量要求低于或包含本细则中检验项目依据的推荐性标准要求时，应</w:t>
      </w:r>
      <w:r>
        <w:rPr>
          <w:spacing w:val="8"/>
        </w:rPr>
        <w:t xml:space="preserve"> </w:t>
      </w:r>
      <w:r>
        <w:rPr>
          <w:b/>
          <w:bCs/>
          <w:spacing w:val="-5"/>
        </w:rPr>
        <w:t>以被检产品明示的质量要求判定。</w:t>
      </w:r>
    </w:p>
    <w:p w14:paraId="06583796">
      <w:pPr>
        <w:pStyle w:val="2"/>
        <w:spacing w:before="31" w:line="375" w:lineRule="auto"/>
        <w:ind w:left="23" w:right="10" w:firstLine="417"/>
      </w:pPr>
      <w:r>
        <w:rPr>
          <w:b/>
          <w:bCs/>
          <w:spacing w:val="-5"/>
        </w:rPr>
        <w:t>若被检产品明示的质量要求缺少本细则中检验项目依据的强制性标准要求时，应按照强</w:t>
      </w:r>
      <w:r>
        <w:rPr>
          <w:spacing w:val="8"/>
        </w:rPr>
        <w:t xml:space="preserve"> </w:t>
      </w:r>
      <w:r>
        <w:rPr>
          <w:b/>
          <w:bCs/>
          <w:spacing w:val="-3"/>
        </w:rPr>
        <w:t>制性标准要求判定。</w:t>
      </w:r>
    </w:p>
    <w:p w14:paraId="78A2EEF3">
      <w:pPr>
        <w:pStyle w:val="2"/>
        <w:spacing w:before="28" w:line="373" w:lineRule="auto"/>
        <w:ind w:left="23" w:right="10" w:firstLine="416"/>
      </w:pPr>
      <w:r>
        <w:rPr>
          <w:b/>
          <w:bCs/>
          <w:spacing w:val="-5"/>
        </w:rPr>
        <w:t>若被检产品明示的质量要求缺少本细则中检验项目依据的推荐性标准要求时，该项目不</w:t>
      </w:r>
      <w:r>
        <w:rPr>
          <w:spacing w:val="8"/>
        </w:rPr>
        <w:t xml:space="preserve"> </w:t>
      </w:r>
      <w:r>
        <w:rPr>
          <w:b/>
          <w:bCs/>
          <w:spacing w:val="-4"/>
        </w:rPr>
        <w:t>参与判定。</w:t>
      </w:r>
    </w:p>
    <w:sectPr>
      <w:footerReference r:id="rId5" w:type="default"/>
      <w:pgSz w:w="11907" w:h="16839"/>
      <w:pgMar w:top="1427" w:right="1785" w:bottom="1160" w:left="1785" w:header="0"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tantia">
    <w:panose1 w:val="02030602050306030303"/>
    <w:charset w:val="00"/>
    <w:family w:val="auto"/>
    <w:pitch w:val="default"/>
    <w:sig w:usb0="A00002EF" w:usb1="4000204B"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4A497">
    <w:pPr>
      <w:spacing w:line="176" w:lineRule="auto"/>
      <w:ind w:left="4124"/>
      <w:rPr>
        <w:rFonts w:ascii="Constantia" w:hAnsi="Constantia" w:eastAsia="Constantia" w:cs="Constantia"/>
        <w:sz w:val="18"/>
        <w:szCs w:val="18"/>
      </w:rPr>
    </w:pPr>
    <w:r>
      <w:rPr>
        <w:rFonts w:ascii="Constantia" w:hAnsi="Constantia" w:eastAsia="Constantia" w:cs="Constantia"/>
        <w:b/>
        <w:bCs/>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1365651"/>
    <w:rsid w:val="54EC61D5"/>
    <w:rsid w:val="55E35D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Constantia" w:hAnsi="Constantia" w:eastAsia="Constantia" w:cs="Constantia"/>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793</Words>
  <Characters>986</Characters>
  <TotalTime>10</TotalTime>
  <ScaleCrop>false</ScaleCrop>
  <LinksUpToDate>false</LinksUpToDate>
  <CharactersWithSpaces>1048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2025-03-07T15:03:00Z</dcterms:created>
  <dc:creator>Administrator</dc:creator>
  <cp:lastModifiedBy>WPS_1645145261</cp:lastModifiedBy>
  <dcterms:modified xsi:type="dcterms:W3CDTF">2026-05-21T08:37:16Z</dcterms:modified>
  <dc:title>Microsoft Word - V_x0017__x0001_v÷_x0016_§Á(ÏÑc½åž½Æˇ_x0008_2025tH	.docx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2025-05-01T15:30:34Z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2052-12.1.0.26375</vt:lpwstr>
  </property>
  <property fmtid="{D5CDD505-2E9C-101B-9397-08002B2CF9AE}" pid="6" name="ICV">
    <vt:lpwstr>8AC147E5979A40F0A40DD833F0B5D737_12</vt:lpwstr>
  </property>
</Properties>
</file>