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28D60">
      <w:pPr>
        <w:spacing w:line="447" w:lineRule="auto"/>
        <w:rPr>
          <w:rFonts w:ascii="Arial"/>
          <w:sz w:val="21"/>
        </w:rPr>
      </w:pPr>
    </w:p>
    <w:p w14:paraId="5CD604B2">
      <w:pPr>
        <w:spacing w:before="163" w:line="380" w:lineRule="exact"/>
        <w:ind w:left="1439"/>
        <w:outlineLvl w:val="0"/>
        <w:rPr>
          <w:rFonts w:ascii="微软雅黑" w:hAnsi="微软雅黑" w:eastAsia="微软雅黑" w:cs="微软雅黑"/>
          <w:sz w:val="38"/>
          <w:szCs w:val="38"/>
        </w:rPr>
      </w:pPr>
      <w:r>
        <w:rPr>
          <w:rFonts w:hint="eastAsia" w:ascii="微软雅黑" w:hAnsi="微软雅黑" w:eastAsia="微软雅黑" w:cs="微软雅黑"/>
          <w:spacing w:val="-9"/>
          <w:w w:val="87"/>
          <w:position w:val="-2"/>
          <w:sz w:val="38"/>
          <w:szCs w:val="38"/>
          <w:lang w:val="en-US" w:eastAsia="zh-CN"/>
        </w:rPr>
        <w:t>通城县</w:t>
      </w:r>
      <w:r>
        <w:rPr>
          <w:rFonts w:ascii="微软雅黑" w:hAnsi="微软雅黑" w:eastAsia="微软雅黑" w:cs="微软雅黑"/>
          <w:spacing w:val="-9"/>
          <w:w w:val="87"/>
          <w:position w:val="-2"/>
          <w:sz w:val="38"/>
          <w:szCs w:val="38"/>
        </w:rPr>
        <w:t>农用薄膜产品质量监督抽查实施细则</w:t>
      </w:r>
    </w:p>
    <w:p w14:paraId="7F442AA6">
      <w:pPr>
        <w:spacing w:before="80" w:line="172" w:lineRule="auto"/>
        <w:ind w:left="3610"/>
        <w:rPr>
          <w:rFonts w:ascii="Arial" w:hAnsi="Arial" w:eastAsia="Arial" w:cs="Arial"/>
          <w:sz w:val="31"/>
          <w:szCs w:val="31"/>
        </w:rPr>
      </w:pPr>
      <w:r>
        <w:rPr>
          <w:rFonts w:ascii="Arial" w:hAnsi="Arial" w:eastAsia="Arial" w:cs="Arial"/>
          <w:spacing w:val="3"/>
          <w:sz w:val="31"/>
          <w:szCs w:val="31"/>
        </w:rPr>
        <w:t xml:space="preserve">( </w:t>
      </w:r>
      <w:r>
        <w:rPr>
          <w:rFonts w:ascii="Times New Roman" w:hAnsi="Times New Roman" w:eastAsia="Times New Roman" w:cs="Times New Roman"/>
          <w:spacing w:val="3"/>
          <w:position w:val="-1"/>
          <w:sz w:val="31"/>
          <w:szCs w:val="31"/>
        </w:rPr>
        <w:t>202</w:t>
      </w:r>
      <w:r>
        <w:rPr>
          <w:rFonts w:hint="eastAsia" w:ascii="Times New Roman" w:hAnsi="Times New Roman" w:eastAsia="宋体" w:cs="Times New Roman"/>
          <w:spacing w:val="3"/>
          <w:position w:val="-1"/>
          <w:sz w:val="31"/>
          <w:szCs w:val="31"/>
          <w:lang w:val="en-US" w:eastAsia="zh-CN"/>
        </w:rPr>
        <w:t>6</w:t>
      </w:r>
      <w:bookmarkStart w:id="0" w:name="_GoBack"/>
      <w:bookmarkEnd w:id="0"/>
      <w:r>
        <w:rPr>
          <w:rFonts w:ascii="Times New Roman" w:hAnsi="Times New Roman" w:eastAsia="Times New Roman" w:cs="Times New Roman"/>
          <w:spacing w:val="9"/>
          <w:position w:val="-1"/>
          <w:sz w:val="31"/>
          <w:szCs w:val="31"/>
        </w:rPr>
        <w:t xml:space="preserve"> </w:t>
      </w:r>
      <w:r>
        <w:rPr>
          <w:rFonts w:ascii="微软雅黑" w:hAnsi="微软雅黑" w:eastAsia="微软雅黑" w:cs="微软雅黑"/>
          <w:spacing w:val="3"/>
          <w:sz w:val="31"/>
          <w:szCs w:val="31"/>
        </w:rPr>
        <w:t>年版</w:t>
      </w:r>
      <w:r>
        <w:rPr>
          <w:rFonts w:ascii="微软雅黑" w:hAnsi="微软雅黑" w:eastAsia="微软雅黑" w:cs="微软雅黑"/>
          <w:spacing w:val="6"/>
          <w:sz w:val="31"/>
          <w:szCs w:val="31"/>
        </w:rPr>
        <w:t xml:space="preserve"> </w:t>
      </w:r>
      <w:r>
        <w:rPr>
          <w:rFonts w:ascii="Arial" w:hAnsi="Arial" w:eastAsia="Arial" w:cs="Arial"/>
          <w:spacing w:val="3"/>
          <w:sz w:val="31"/>
          <w:szCs w:val="31"/>
        </w:rPr>
        <w:t>)</w:t>
      </w:r>
    </w:p>
    <w:p w14:paraId="15D8FEE5">
      <w:pPr>
        <w:spacing w:line="479" w:lineRule="auto"/>
        <w:rPr>
          <w:rFonts w:ascii="Arial"/>
          <w:sz w:val="21"/>
        </w:rPr>
      </w:pPr>
    </w:p>
    <w:p w14:paraId="2CBB515D">
      <w:pPr>
        <w:spacing w:before="65" w:line="229" w:lineRule="auto"/>
        <w:ind w:left="23"/>
        <w:rPr>
          <w:rFonts w:ascii="黑体" w:hAnsi="黑体" w:eastAsia="黑体" w:cs="黑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pacing w:val="9"/>
          <w:sz w:val="20"/>
          <w:szCs w:val="20"/>
        </w:rPr>
        <w:t xml:space="preserve">  </w:t>
      </w:r>
      <w:r>
        <w:rPr>
          <w:rFonts w:ascii="黑体" w:hAnsi="黑体" w:eastAsia="黑体" w:cs="黑体"/>
          <w:spacing w:val="1"/>
          <w:sz w:val="20"/>
          <w:szCs w:val="20"/>
        </w:rPr>
        <w:t>抽样方法</w:t>
      </w:r>
    </w:p>
    <w:p w14:paraId="0EF2AE3B">
      <w:pPr>
        <w:pStyle w:val="2"/>
        <w:spacing w:before="263" w:line="390" w:lineRule="auto"/>
        <w:ind w:left="439" w:right="2694" w:firstLine="12"/>
      </w:pPr>
      <w:r>
        <w:rPr>
          <w:spacing w:val="7"/>
        </w:rPr>
        <w:t>以随机抽样的方式在被抽样生产者、销售者的待销产品中抽取。</w:t>
      </w:r>
      <w:r>
        <w:rPr>
          <w:spacing w:val="14"/>
        </w:rPr>
        <w:t xml:space="preserve"> </w:t>
      </w:r>
      <w:r>
        <w:rPr>
          <w:spacing w:val="8"/>
        </w:rPr>
        <w:t>随机数一般可使用随机数表等方法产生。</w:t>
      </w:r>
    </w:p>
    <w:p w14:paraId="12847380">
      <w:pPr>
        <w:pStyle w:val="2"/>
        <w:spacing w:before="35" w:line="227" w:lineRule="auto"/>
        <w:ind w:left="425"/>
      </w:pPr>
      <w:r>
        <w:rPr>
          <w:spacing w:val="8"/>
        </w:rPr>
        <w:t>每批次地膜产品随机抽取</w:t>
      </w:r>
      <w:r>
        <w:rPr>
          <w:spacing w:val="-43"/>
        </w:rPr>
        <w:t xml:space="preserve"> </w:t>
      </w:r>
      <w:r>
        <w:rPr>
          <w:rFonts w:ascii="Times New Roman" w:hAnsi="Times New Roman" w:eastAsia="Times New Roman" w:cs="Times New Roman"/>
          <w:spacing w:val="8"/>
        </w:rPr>
        <w:t xml:space="preserve">2 </w:t>
      </w:r>
      <w:r>
        <w:rPr>
          <w:spacing w:val="8"/>
        </w:rPr>
        <w:t>卷薄膜，其中</w:t>
      </w:r>
      <w:r>
        <w:rPr>
          <w:spacing w:val="-20"/>
        </w:rPr>
        <w:t xml:space="preserve"> </w:t>
      </w:r>
      <w:r>
        <w:rPr>
          <w:rFonts w:ascii="Times New Roman" w:hAnsi="Times New Roman" w:eastAsia="Times New Roman" w:cs="Times New Roman"/>
          <w:spacing w:val="8"/>
        </w:rPr>
        <w:t xml:space="preserve">1 </w:t>
      </w:r>
      <w:r>
        <w:rPr>
          <w:spacing w:val="7"/>
        </w:rPr>
        <w:t>卷为检验样品，</w:t>
      </w:r>
      <w:r>
        <w:rPr>
          <w:rFonts w:ascii="Times New Roman" w:hAnsi="Times New Roman" w:eastAsia="Times New Roman" w:cs="Times New Roman"/>
          <w:spacing w:val="7"/>
        </w:rPr>
        <w:t xml:space="preserve">1 </w:t>
      </w:r>
      <w:r>
        <w:rPr>
          <w:spacing w:val="7"/>
        </w:rPr>
        <w:t>卷为备用样品。</w:t>
      </w:r>
    </w:p>
    <w:p w14:paraId="261B4E86">
      <w:pPr>
        <w:pStyle w:val="2"/>
        <w:spacing w:before="192" w:line="397" w:lineRule="auto"/>
        <w:ind w:left="8" w:firstLine="419"/>
      </w:pPr>
      <w:r>
        <w:rPr>
          <w:spacing w:val="10"/>
        </w:rPr>
        <w:t xml:space="preserve">每批次棚膜产品随机抽取两卷薄膜，现场将抽取到的两卷薄膜去掉外层 </w:t>
      </w:r>
      <w:r>
        <w:rPr>
          <w:rFonts w:ascii="Times New Roman" w:hAnsi="Times New Roman" w:eastAsia="Times New Roman" w:cs="Times New Roman"/>
          <w:spacing w:val="10"/>
        </w:rPr>
        <w:t xml:space="preserve">2  </w:t>
      </w:r>
      <w:r>
        <w:rPr>
          <w:spacing w:val="10"/>
        </w:rPr>
        <w:t>米后，每卷</w:t>
      </w:r>
      <w:r>
        <w:rPr>
          <w:spacing w:val="9"/>
        </w:rPr>
        <w:t>沿幅宽</w:t>
      </w:r>
      <w:r>
        <w:t xml:space="preserve"> </w:t>
      </w:r>
      <w:r>
        <w:rPr>
          <w:spacing w:val="9"/>
        </w:rPr>
        <w:t>方向取一块面积</w:t>
      </w:r>
      <w:r>
        <w:rPr>
          <w:spacing w:val="-44"/>
        </w:rPr>
        <w:t xml:space="preserve"> </w:t>
      </w:r>
      <w:r>
        <w:rPr>
          <w:rFonts w:ascii="Times New Roman" w:hAnsi="Times New Roman" w:eastAsia="Times New Roman" w:cs="Times New Roman"/>
          <w:spacing w:val="9"/>
        </w:rPr>
        <w:t xml:space="preserve">4 </w:t>
      </w:r>
      <w:r>
        <w:rPr>
          <w:spacing w:val="9"/>
        </w:rPr>
        <w:t>平方米，且保证样品折叠后面积不小于</w:t>
      </w:r>
      <w:r>
        <w:rPr>
          <w:spacing w:val="-46"/>
        </w:rPr>
        <w:t xml:space="preserve"> </w:t>
      </w:r>
      <w:r>
        <w:rPr>
          <w:rFonts w:ascii="Times New Roman" w:hAnsi="Times New Roman" w:eastAsia="Times New Roman" w:cs="Times New Roman"/>
          <w:spacing w:val="9"/>
        </w:rPr>
        <w:t xml:space="preserve">A4 </w:t>
      </w:r>
      <w:r>
        <w:rPr>
          <w:spacing w:val="9"/>
        </w:rPr>
        <w:t>纸大小</w:t>
      </w:r>
      <w:r>
        <w:rPr>
          <w:spacing w:val="8"/>
        </w:rPr>
        <w:t>且表面无折痕，其中一块样品</w:t>
      </w:r>
      <w:r>
        <w:t xml:space="preserve"> </w:t>
      </w:r>
      <w:r>
        <w:rPr>
          <w:spacing w:val="8"/>
        </w:rPr>
        <w:t>为检验样品，一块样品为备用样品。</w:t>
      </w:r>
    </w:p>
    <w:p w14:paraId="03E23958">
      <w:pPr>
        <w:spacing w:line="261" w:lineRule="auto"/>
        <w:rPr>
          <w:rFonts w:ascii="Arial"/>
          <w:sz w:val="21"/>
        </w:rPr>
      </w:pPr>
    </w:p>
    <w:p w14:paraId="2B1B2BAB">
      <w:pPr>
        <w:spacing w:before="66" w:line="230" w:lineRule="auto"/>
        <w:ind w:left="3"/>
        <w:rPr>
          <w:rFonts w:ascii="黑体" w:hAnsi="黑体" w:eastAsia="黑体" w:cs="黑体"/>
          <w:sz w:val="20"/>
          <w:szCs w:val="20"/>
        </w:rPr>
      </w:pPr>
      <w:r>
        <w:rPr>
          <w:rFonts w:ascii="Times New Roman" w:hAnsi="Times New Roman" w:eastAsia="Times New Roman" w:cs="Times New Roman"/>
          <w:spacing w:val="6"/>
          <w:sz w:val="20"/>
          <w:szCs w:val="20"/>
        </w:rPr>
        <w:t xml:space="preserve">2  </w:t>
      </w:r>
      <w:r>
        <w:rPr>
          <w:rFonts w:ascii="黑体" w:hAnsi="黑体" w:eastAsia="黑体" w:cs="黑体"/>
          <w:spacing w:val="6"/>
          <w:sz w:val="20"/>
          <w:szCs w:val="20"/>
        </w:rPr>
        <w:t>检验依据</w:t>
      </w:r>
    </w:p>
    <w:p w14:paraId="3AD5895F">
      <w:pPr>
        <w:pStyle w:val="2"/>
        <w:spacing w:before="158" w:line="228" w:lineRule="auto"/>
        <w:ind w:left="2884"/>
      </w:pPr>
      <w:r>
        <w:rPr>
          <w:spacing w:val="6"/>
        </w:rPr>
        <w:t>表</w:t>
      </w:r>
      <w:r>
        <w:rPr>
          <w:spacing w:val="-9"/>
        </w:rPr>
        <w:t xml:space="preserve"> </w:t>
      </w:r>
      <w:r>
        <w:rPr>
          <w:rFonts w:ascii="Times New Roman" w:hAnsi="Times New Roman" w:eastAsia="Times New Roman" w:cs="Times New Roman"/>
          <w:spacing w:val="6"/>
        </w:rPr>
        <w:t xml:space="preserve">1  </w:t>
      </w:r>
      <w:r>
        <w:rPr>
          <w:spacing w:val="6"/>
        </w:rPr>
        <w:t>聚乙烯吹塑农用地面覆盖薄膜</w:t>
      </w:r>
    </w:p>
    <w:p w14:paraId="14446BF7">
      <w:pPr>
        <w:spacing w:line="132" w:lineRule="exact"/>
      </w:pPr>
    </w:p>
    <w:tbl>
      <w:tblPr>
        <w:tblStyle w:val="5"/>
        <w:tblW w:w="893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3258"/>
        <w:gridCol w:w="2551"/>
        <w:gridCol w:w="2271"/>
      </w:tblGrid>
      <w:tr w14:paraId="5BE53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850" w:type="dxa"/>
            <w:vAlign w:val="top"/>
          </w:tcPr>
          <w:p w14:paraId="5A83ECC5">
            <w:pPr>
              <w:spacing w:line="252" w:lineRule="auto"/>
              <w:rPr>
                <w:rFonts w:ascii="Arial"/>
                <w:sz w:val="21"/>
              </w:rPr>
            </w:pPr>
          </w:p>
          <w:p w14:paraId="3D347D83">
            <w:pPr>
              <w:spacing w:before="65" w:line="229" w:lineRule="auto"/>
              <w:ind w:left="221"/>
              <w:rPr>
                <w:rFonts w:ascii="宋体" w:hAnsi="宋体" w:eastAsia="宋体" w:cs="宋体"/>
                <w:sz w:val="20"/>
                <w:szCs w:val="20"/>
              </w:rPr>
            </w:pPr>
            <w:r>
              <w:rPr>
                <w:rFonts w:ascii="宋体" w:hAnsi="宋体" w:eastAsia="宋体" w:cs="宋体"/>
                <w:spacing w:val="5"/>
                <w:sz w:val="20"/>
                <w:szCs w:val="20"/>
              </w:rPr>
              <w:t>序号</w:t>
            </w:r>
          </w:p>
        </w:tc>
        <w:tc>
          <w:tcPr>
            <w:tcW w:w="3258" w:type="dxa"/>
            <w:vAlign w:val="top"/>
          </w:tcPr>
          <w:p w14:paraId="53BE12E9">
            <w:pPr>
              <w:spacing w:line="252" w:lineRule="auto"/>
              <w:rPr>
                <w:rFonts w:ascii="Arial"/>
                <w:sz w:val="21"/>
              </w:rPr>
            </w:pPr>
          </w:p>
          <w:p w14:paraId="599BF3A0">
            <w:pPr>
              <w:spacing w:before="65" w:line="228" w:lineRule="auto"/>
              <w:ind w:left="1212"/>
              <w:rPr>
                <w:rFonts w:ascii="宋体" w:hAnsi="宋体" w:eastAsia="宋体" w:cs="宋体"/>
                <w:sz w:val="20"/>
                <w:szCs w:val="20"/>
              </w:rPr>
            </w:pPr>
            <w:r>
              <w:rPr>
                <w:rFonts w:ascii="宋体" w:hAnsi="宋体" w:eastAsia="宋体" w:cs="宋体"/>
                <w:spacing w:val="7"/>
                <w:sz w:val="20"/>
                <w:szCs w:val="20"/>
              </w:rPr>
              <w:t>检验项目</w:t>
            </w:r>
          </w:p>
        </w:tc>
        <w:tc>
          <w:tcPr>
            <w:tcW w:w="2551" w:type="dxa"/>
            <w:vAlign w:val="top"/>
          </w:tcPr>
          <w:p w14:paraId="50F1C690">
            <w:pPr>
              <w:spacing w:line="252" w:lineRule="auto"/>
              <w:rPr>
                <w:rFonts w:ascii="Arial"/>
                <w:sz w:val="21"/>
              </w:rPr>
            </w:pPr>
          </w:p>
          <w:p w14:paraId="6CE78A99">
            <w:pPr>
              <w:spacing w:before="65" w:line="227" w:lineRule="auto"/>
              <w:ind w:left="861"/>
              <w:rPr>
                <w:rFonts w:ascii="宋体" w:hAnsi="宋体" w:eastAsia="宋体" w:cs="宋体"/>
                <w:sz w:val="20"/>
                <w:szCs w:val="20"/>
              </w:rPr>
            </w:pPr>
            <w:r>
              <w:rPr>
                <w:rFonts w:ascii="宋体" w:hAnsi="宋体" w:eastAsia="宋体" w:cs="宋体"/>
                <w:spacing w:val="7"/>
                <w:sz w:val="20"/>
                <w:szCs w:val="20"/>
              </w:rPr>
              <w:t>检验依据</w:t>
            </w:r>
          </w:p>
        </w:tc>
        <w:tc>
          <w:tcPr>
            <w:tcW w:w="2271" w:type="dxa"/>
            <w:vAlign w:val="top"/>
          </w:tcPr>
          <w:p w14:paraId="366D1135">
            <w:pPr>
              <w:spacing w:line="252" w:lineRule="auto"/>
              <w:rPr>
                <w:rFonts w:ascii="Arial"/>
                <w:sz w:val="21"/>
              </w:rPr>
            </w:pPr>
          </w:p>
          <w:p w14:paraId="36B25176">
            <w:pPr>
              <w:spacing w:before="65" w:line="228" w:lineRule="auto"/>
              <w:ind w:left="719"/>
              <w:rPr>
                <w:rFonts w:ascii="宋体" w:hAnsi="宋体" w:eastAsia="宋体" w:cs="宋体"/>
                <w:sz w:val="20"/>
                <w:szCs w:val="20"/>
              </w:rPr>
            </w:pPr>
            <w:r>
              <w:rPr>
                <w:rFonts w:ascii="宋体" w:hAnsi="宋体" w:eastAsia="宋体" w:cs="宋体"/>
                <w:spacing w:val="7"/>
                <w:sz w:val="20"/>
                <w:szCs w:val="20"/>
              </w:rPr>
              <w:t>检验方法</w:t>
            </w:r>
          </w:p>
        </w:tc>
      </w:tr>
      <w:tr w14:paraId="117C5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vAlign w:val="top"/>
          </w:tcPr>
          <w:p w14:paraId="388825DB">
            <w:pPr>
              <w:spacing w:line="292" w:lineRule="auto"/>
              <w:rPr>
                <w:rFonts w:ascii="Arial"/>
                <w:sz w:val="21"/>
              </w:rPr>
            </w:pPr>
          </w:p>
          <w:p w14:paraId="301BFD30">
            <w:pPr>
              <w:pStyle w:val="6"/>
              <w:spacing w:before="58" w:line="195" w:lineRule="auto"/>
              <w:ind w:left="394"/>
            </w:pPr>
            <w:r>
              <w:t>1</w:t>
            </w:r>
          </w:p>
        </w:tc>
        <w:tc>
          <w:tcPr>
            <w:tcW w:w="3258" w:type="dxa"/>
            <w:vAlign w:val="top"/>
          </w:tcPr>
          <w:p w14:paraId="117BF347">
            <w:pPr>
              <w:spacing w:before="258" w:line="228" w:lineRule="auto"/>
              <w:ind w:left="1428"/>
              <w:rPr>
                <w:rFonts w:ascii="宋体" w:hAnsi="宋体" w:eastAsia="宋体" w:cs="宋体"/>
                <w:sz w:val="20"/>
                <w:szCs w:val="20"/>
              </w:rPr>
            </w:pPr>
            <w:r>
              <w:rPr>
                <w:rFonts w:ascii="宋体" w:hAnsi="宋体" w:eastAsia="宋体" w:cs="宋体"/>
                <w:spacing w:val="2"/>
                <w:sz w:val="20"/>
                <w:szCs w:val="20"/>
              </w:rPr>
              <w:t>厚度</w:t>
            </w:r>
          </w:p>
        </w:tc>
        <w:tc>
          <w:tcPr>
            <w:tcW w:w="2551" w:type="dxa"/>
            <w:vAlign w:val="top"/>
          </w:tcPr>
          <w:p w14:paraId="43BA468F">
            <w:pPr>
              <w:pStyle w:val="6"/>
              <w:spacing w:before="210" w:line="195" w:lineRule="auto"/>
              <w:ind w:left="531"/>
            </w:pPr>
            <w:r>
              <w:t>GB</w:t>
            </w:r>
            <w:r>
              <w:rPr>
                <w:spacing w:val="32"/>
                <w:w w:val="101"/>
              </w:rPr>
              <w:t xml:space="preserve"> </w:t>
            </w:r>
            <w:r>
              <w:rPr>
                <w:spacing w:val="3"/>
              </w:rPr>
              <w:t>13735—2017</w:t>
            </w:r>
          </w:p>
        </w:tc>
        <w:tc>
          <w:tcPr>
            <w:tcW w:w="2271" w:type="dxa"/>
            <w:vAlign w:val="top"/>
          </w:tcPr>
          <w:p w14:paraId="31BDEFCB">
            <w:pPr>
              <w:pStyle w:val="6"/>
              <w:spacing w:before="294" w:line="195" w:lineRule="auto"/>
              <w:ind w:left="390"/>
            </w:pPr>
            <w:r>
              <w:t>GB</w:t>
            </w:r>
            <w:r>
              <w:rPr>
                <w:spacing w:val="32"/>
                <w:w w:val="101"/>
              </w:rPr>
              <w:t xml:space="preserve"> </w:t>
            </w:r>
            <w:r>
              <w:rPr>
                <w:spacing w:val="3"/>
              </w:rPr>
              <w:t>13735—2017</w:t>
            </w:r>
          </w:p>
        </w:tc>
      </w:tr>
      <w:tr w14:paraId="24E23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vAlign w:val="top"/>
          </w:tcPr>
          <w:p w14:paraId="331E2370">
            <w:pPr>
              <w:spacing w:line="293" w:lineRule="auto"/>
              <w:rPr>
                <w:rFonts w:ascii="Arial"/>
                <w:sz w:val="21"/>
              </w:rPr>
            </w:pPr>
          </w:p>
          <w:p w14:paraId="48612BD6">
            <w:pPr>
              <w:pStyle w:val="6"/>
              <w:spacing w:before="58" w:line="195" w:lineRule="auto"/>
              <w:ind w:left="374"/>
            </w:pPr>
            <w:r>
              <w:t>2</w:t>
            </w:r>
          </w:p>
        </w:tc>
        <w:tc>
          <w:tcPr>
            <w:tcW w:w="3258" w:type="dxa"/>
            <w:vAlign w:val="top"/>
          </w:tcPr>
          <w:p w14:paraId="167C02BA">
            <w:pPr>
              <w:spacing w:before="256" w:line="228" w:lineRule="auto"/>
              <w:ind w:left="1217"/>
              <w:rPr>
                <w:rFonts w:ascii="宋体" w:hAnsi="宋体" w:eastAsia="宋体" w:cs="宋体"/>
                <w:sz w:val="20"/>
                <w:szCs w:val="20"/>
              </w:rPr>
            </w:pPr>
            <w:r>
              <w:rPr>
                <w:rFonts w:ascii="宋体" w:hAnsi="宋体" w:eastAsia="宋体" w:cs="宋体"/>
                <w:spacing w:val="6"/>
                <w:sz w:val="20"/>
                <w:szCs w:val="20"/>
              </w:rPr>
              <w:t>厚度偏差</w:t>
            </w:r>
          </w:p>
        </w:tc>
        <w:tc>
          <w:tcPr>
            <w:tcW w:w="2551" w:type="dxa"/>
            <w:vAlign w:val="top"/>
          </w:tcPr>
          <w:p w14:paraId="71885150">
            <w:pPr>
              <w:pStyle w:val="6"/>
              <w:spacing w:before="209" w:line="195" w:lineRule="auto"/>
              <w:ind w:left="531"/>
            </w:pPr>
            <w:r>
              <w:t>GB</w:t>
            </w:r>
            <w:r>
              <w:rPr>
                <w:spacing w:val="32"/>
                <w:w w:val="101"/>
              </w:rPr>
              <w:t xml:space="preserve"> </w:t>
            </w:r>
            <w:r>
              <w:rPr>
                <w:spacing w:val="3"/>
              </w:rPr>
              <w:t>13735—2017</w:t>
            </w:r>
          </w:p>
        </w:tc>
        <w:tc>
          <w:tcPr>
            <w:tcW w:w="2271" w:type="dxa"/>
            <w:vAlign w:val="top"/>
          </w:tcPr>
          <w:p w14:paraId="018F700B">
            <w:pPr>
              <w:pStyle w:val="6"/>
              <w:spacing w:before="172" w:line="247" w:lineRule="auto"/>
              <w:ind w:left="351" w:right="343" w:firstLine="38"/>
            </w:pPr>
            <w:r>
              <w:t>GB</w:t>
            </w:r>
            <w:r>
              <w:rPr>
                <w:spacing w:val="32"/>
                <w:w w:val="101"/>
              </w:rPr>
              <w:t xml:space="preserve"> </w:t>
            </w:r>
            <w:r>
              <w:rPr>
                <w:spacing w:val="3"/>
              </w:rPr>
              <w:t>13735—2017</w:t>
            </w:r>
            <w:r>
              <w:t xml:space="preserve">  GB</w:t>
            </w:r>
            <w:r>
              <w:rPr>
                <w:spacing w:val="5"/>
              </w:rPr>
              <w:t>/T 6672—2001</w:t>
            </w:r>
          </w:p>
        </w:tc>
      </w:tr>
      <w:tr w14:paraId="15B80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vAlign w:val="top"/>
          </w:tcPr>
          <w:p w14:paraId="733879D5">
            <w:pPr>
              <w:pStyle w:val="6"/>
              <w:spacing w:before="296" w:line="195" w:lineRule="auto"/>
              <w:ind w:left="378"/>
            </w:pPr>
            <w:r>
              <w:t>3</w:t>
            </w:r>
          </w:p>
        </w:tc>
        <w:tc>
          <w:tcPr>
            <w:tcW w:w="3258" w:type="dxa"/>
            <w:vAlign w:val="top"/>
          </w:tcPr>
          <w:p w14:paraId="135C4648">
            <w:pPr>
              <w:spacing w:before="258" w:line="228" w:lineRule="auto"/>
              <w:ind w:left="585"/>
              <w:rPr>
                <w:rFonts w:ascii="宋体" w:hAnsi="宋体" w:eastAsia="宋体" w:cs="宋体"/>
                <w:sz w:val="20"/>
                <w:szCs w:val="20"/>
              </w:rPr>
            </w:pPr>
            <w:r>
              <w:rPr>
                <w:rFonts w:ascii="宋体" w:hAnsi="宋体" w:eastAsia="宋体" w:cs="宋体"/>
                <w:spacing w:val="7"/>
                <w:sz w:val="20"/>
                <w:szCs w:val="20"/>
              </w:rPr>
              <w:t>拉伸负荷（纵、横向）</w:t>
            </w:r>
          </w:p>
        </w:tc>
        <w:tc>
          <w:tcPr>
            <w:tcW w:w="2551" w:type="dxa"/>
            <w:vAlign w:val="top"/>
          </w:tcPr>
          <w:p w14:paraId="5D1AE914">
            <w:pPr>
              <w:pStyle w:val="6"/>
              <w:spacing w:before="210" w:line="195" w:lineRule="auto"/>
              <w:ind w:left="531"/>
            </w:pPr>
            <w:r>
              <w:t>GB</w:t>
            </w:r>
            <w:r>
              <w:rPr>
                <w:spacing w:val="32"/>
                <w:w w:val="101"/>
              </w:rPr>
              <w:t xml:space="preserve"> </w:t>
            </w:r>
            <w:r>
              <w:rPr>
                <w:spacing w:val="3"/>
              </w:rPr>
              <w:t>13735—2017</w:t>
            </w:r>
          </w:p>
        </w:tc>
        <w:tc>
          <w:tcPr>
            <w:tcW w:w="2271" w:type="dxa"/>
            <w:vAlign w:val="top"/>
          </w:tcPr>
          <w:p w14:paraId="362F8D25">
            <w:pPr>
              <w:pStyle w:val="6"/>
              <w:spacing w:before="174" w:line="247" w:lineRule="auto"/>
              <w:ind w:left="272" w:right="266" w:firstLine="117"/>
            </w:pPr>
            <w:r>
              <w:t>GB</w:t>
            </w:r>
            <w:r>
              <w:rPr>
                <w:spacing w:val="32"/>
                <w:w w:val="101"/>
              </w:rPr>
              <w:t xml:space="preserve"> </w:t>
            </w:r>
            <w:r>
              <w:rPr>
                <w:spacing w:val="3"/>
              </w:rPr>
              <w:t>13735—2017</w:t>
            </w:r>
            <w:r>
              <w:t xml:space="preserve">   GB</w:t>
            </w:r>
            <w:r>
              <w:rPr>
                <w:spacing w:val="3"/>
              </w:rPr>
              <w:t>/T</w:t>
            </w:r>
            <w:r>
              <w:rPr>
                <w:spacing w:val="31"/>
              </w:rPr>
              <w:t xml:space="preserve"> </w:t>
            </w:r>
            <w:r>
              <w:rPr>
                <w:spacing w:val="3"/>
              </w:rPr>
              <w:t>1040.3—2006</w:t>
            </w:r>
          </w:p>
        </w:tc>
      </w:tr>
      <w:tr w14:paraId="49FBC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vAlign w:val="top"/>
          </w:tcPr>
          <w:p w14:paraId="273DC83B">
            <w:pPr>
              <w:pStyle w:val="6"/>
              <w:spacing w:before="298" w:line="195" w:lineRule="auto"/>
              <w:ind w:left="373"/>
            </w:pPr>
            <w:r>
              <w:rPr>
                <w:spacing w:val="1"/>
              </w:rPr>
              <w:t>4</w:t>
            </w:r>
          </w:p>
        </w:tc>
        <w:tc>
          <w:tcPr>
            <w:tcW w:w="3258" w:type="dxa"/>
            <w:vAlign w:val="top"/>
          </w:tcPr>
          <w:p w14:paraId="7B712D49">
            <w:pPr>
              <w:spacing w:before="259" w:line="228" w:lineRule="auto"/>
              <w:ind w:left="380"/>
              <w:rPr>
                <w:rFonts w:ascii="宋体" w:hAnsi="宋体" w:eastAsia="宋体" w:cs="宋体"/>
                <w:sz w:val="20"/>
                <w:szCs w:val="20"/>
              </w:rPr>
            </w:pPr>
            <w:r>
              <w:rPr>
                <w:rFonts w:ascii="宋体" w:hAnsi="宋体" w:eastAsia="宋体" w:cs="宋体"/>
                <w:spacing w:val="7"/>
                <w:sz w:val="20"/>
                <w:szCs w:val="20"/>
              </w:rPr>
              <w:t>断裂标称应变（纵、横向）</w:t>
            </w:r>
          </w:p>
        </w:tc>
        <w:tc>
          <w:tcPr>
            <w:tcW w:w="2551" w:type="dxa"/>
            <w:vAlign w:val="top"/>
          </w:tcPr>
          <w:p w14:paraId="0C8F6E63">
            <w:pPr>
              <w:pStyle w:val="6"/>
              <w:spacing w:before="211" w:line="195" w:lineRule="auto"/>
              <w:ind w:left="531"/>
            </w:pPr>
            <w:r>
              <w:t>GB</w:t>
            </w:r>
            <w:r>
              <w:rPr>
                <w:spacing w:val="32"/>
                <w:w w:val="101"/>
              </w:rPr>
              <w:t xml:space="preserve"> </w:t>
            </w:r>
            <w:r>
              <w:rPr>
                <w:spacing w:val="3"/>
              </w:rPr>
              <w:t>13735—2017</w:t>
            </w:r>
          </w:p>
        </w:tc>
        <w:tc>
          <w:tcPr>
            <w:tcW w:w="2271" w:type="dxa"/>
            <w:vAlign w:val="top"/>
          </w:tcPr>
          <w:p w14:paraId="3F8BB9E0">
            <w:pPr>
              <w:pStyle w:val="6"/>
              <w:spacing w:before="175" w:line="247" w:lineRule="auto"/>
              <w:ind w:left="272" w:right="266" w:firstLine="117"/>
            </w:pPr>
            <w:r>
              <w:t>GB</w:t>
            </w:r>
            <w:r>
              <w:rPr>
                <w:spacing w:val="32"/>
                <w:w w:val="101"/>
              </w:rPr>
              <w:t xml:space="preserve"> </w:t>
            </w:r>
            <w:r>
              <w:rPr>
                <w:spacing w:val="3"/>
              </w:rPr>
              <w:t>13735—2017</w:t>
            </w:r>
            <w:r>
              <w:t xml:space="preserve">   GB</w:t>
            </w:r>
            <w:r>
              <w:rPr>
                <w:spacing w:val="3"/>
              </w:rPr>
              <w:t>/T</w:t>
            </w:r>
            <w:r>
              <w:rPr>
                <w:spacing w:val="31"/>
              </w:rPr>
              <w:t xml:space="preserve"> </w:t>
            </w:r>
            <w:r>
              <w:rPr>
                <w:spacing w:val="3"/>
              </w:rPr>
              <w:t>1040.3—2006</w:t>
            </w:r>
          </w:p>
        </w:tc>
      </w:tr>
    </w:tbl>
    <w:p w14:paraId="169AFA0F">
      <w:pPr>
        <w:spacing w:line="271" w:lineRule="auto"/>
        <w:rPr>
          <w:rFonts w:ascii="Arial"/>
          <w:sz w:val="21"/>
        </w:rPr>
      </w:pPr>
    </w:p>
    <w:p w14:paraId="25948967">
      <w:pPr>
        <w:spacing w:line="272" w:lineRule="auto"/>
        <w:rPr>
          <w:rFonts w:ascii="Arial"/>
          <w:sz w:val="21"/>
        </w:rPr>
      </w:pPr>
    </w:p>
    <w:p w14:paraId="6254A79C">
      <w:pPr>
        <w:pStyle w:val="2"/>
        <w:spacing w:before="66" w:line="228" w:lineRule="auto"/>
        <w:ind w:left="3409"/>
      </w:pPr>
      <w:r>
        <w:rPr>
          <w:spacing w:val="7"/>
        </w:rPr>
        <w:t>表</w:t>
      </w:r>
      <w:r>
        <w:rPr>
          <w:spacing w:val="-39"/>
        </w:rPr>
        <w:t xml:space="preserve"> </w:t>
      </w:r>
      <w:r>
        <w:rPr>
          <w:rFonts w:ascii="Times New Roman" w:hAnsi="Times New Roman" w:eastAsia="Times New Roman" w:cs="Times New Roman"/>
          <w:spacing w:val="7"/>
        </w:rPr>
        <w:t xml:space="preserve">2  </w:t>
      </w:r>
      <w:r>
        <w:rPr>
          <w:spacing w:val="7"/>
        </w:rPr>
        <w:t>农业用聚乙烯吹塑棚膜</w:t>
      </w:r>
    </w:p>
    <w:p w14:paraId="66B6A484">
      <w:pPr>
        <w:spacing w:line="145" w:lineRule="auto"/>
        <w:rPr>
          <w:rFonts w:ascii="Arial"/>
          <w:sz w:val="2"/>
        </w:rPr>
      </w:pPr>
    </w:p>
    <w:tbl>
      <w:tblPr>
        <w:tblStyle w:val="5"/>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3258"/>
        <w:gridCol w:w="2551"/>
        <w:gridCol w:w="2271"/>
      </w:tblGrid>
      <w:tr w14:paraId="5CE99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55" w:type="dxa"/>
            <w:vAlign w:val="top"/>
          </w:tcPr>
          <w:p w14:paraId="60F7D776">
            <w:pPr>
              <w:spacing w:before="176" w:line="229" w:lineRule="auto"/>
              <w:ind w:left="222"/>
              <w:rPr>
                <w:rFonts w:ascii="宋体" w:hAnsi="宋体" w:eastAsia="宋体" w:cs="宋体"/>
                <w:sz w:val="20"/>
                <w:szCs w:val="20"/>
              </w:rPr>
            </w:pPr>
            <w:r>
              <w:rPr>
                <w:rFonts w:ascii="宋体" w:hAnsi="宋体" w:eastAsia="宋体" w:cs="宋体"/>
                <w:spacing w:val="5"/>
                <w:sz w:val="20"/>
                <w:szCs w:val="20"/>
              </w:rPr>
              <w:t>序号</w:t>
            </w:r>
          </w:p>
        </w:tc>
        <w:tc>
          <w:tcPr>
            <w:tcW w:w="3258" w:type="dxa"/>
            <w:vAlign w:val="top"/>
          </w:tcPr>
          <w:p w14:paraId="70838AA7">
            <w:pPr>
              <w:spacing w:before="176" w:line="228" w:lineRule="auto"/>
              <w:ind w:left="1213"/>
              <w:rPr>
                <w:rFonts w:ascii="宋体" w:hAnsi="宋体" w:eastAsia="宋体" w:cs="宋体"/>
                <w:sz w:val="20"/>
                <w:szCs w:val="20"/>
              </w:rPr>
            </w:pPr>
            <w:r>
              <w:rPr>
                <w:rFonts w:ascii="宋体" w:hAnsi="宋体" w:eastAsia="宋体" w:cs="宋体"/>
                <w:spacing w:val="7"/>
                <w:sz w:val="20"/>
                <w:szCs w:val="20"/>
              </w:rPr>
              <w:t>检验项目</w:t>
            </w:r>
          </w:p>
        </w:tc>
        <w:tc>
          <w:tcPr>
            <w:tcW w:w="2551" w:type="dxa"/>
            <w:vAlign w:val="top"/>
          </w:tcPr>
          <w:p w14:paraId="0D7FE024">
            <w:pPr>
              <w:spacing w:before="176" w:line="227" w:lineRule="auto"/>
              <w:ind w:left="862"/>
              <w:rPr>
                <w:rFonts w:ascii="宋体" w:hAnsi="宋体" w:eastAsia="宋体" w:cs="宋体"/>
                <w:sz w:val="20"/>
                <w:szCs w:val="20"/>
              </w:rPr>
            </w:pPr>
            <w:r>
              <w:rPr>
                <w:rFonts w:ascii="宋体" w:hAnsi="宋体" w:eastAsia="宋体" w:cs="宋体"/>
                <w:spacing w:val="7"/>
                <w:sz w:val="20"/>
                <w:szCs w:val="20"/>
              </w:rPr>
              <w:t>检验依据</w:t>
            </w:r>
          </w:p>
        </w:tc>
        <w:tc>
          <w:tcPr>
            <w:tcW w:w="2271" w:type="dxa"/>
            <w:vAlign w:val="top"/>
          </w:tcPr>
          <w:p w14:paraId="62DA242F">
            <w:pPr>
              <w:spacing w:before="176" w:line="228" w:lineRule="auto"/>
              <w:ind w:left="720"/>
              <w:rPr>
                <w:rFonts w:ascii="宋体" w:hAnsi="宋体" w:eastAsia="宋体" w:cs="宋体"/>
                <w:sz w:val="20"/>
                <w:szCs w:val="20"/>
              </w:rPr>
            </w:pPr>
            <w:r>
              <w:rPr>
                <w:rFonts w:ascii="宋体" w:hAnsi="宋体" w:eastAsia="宋体" w:cs="宋体"/>
                <w:spacing w:val="7"/>
                <w:sz w:val="20"/>
                <w:szCs w:val="20"/>
              </w:rPr>
              <w:t>检验方法</w:t>
            </w:r>
          </w:p>
        </w:tc>
      </w:tr>
      <w:tr w14:paraId="54CF2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855" w:type="dxa"/>
            <w:vAlign w:val="top"/>
          </w:tcPr>
          <w:p w14:paraId="7C022274">
            <w:pPr>
              <w:spacing w:line="456" w:lineRule="auto"/>
              <w:rPr>
                <w:rFonts w:ascii="Arial"/>
                <w:sz w:val="21"/>
              </w:rPr>
            </w:pPr>
          </w:p>
          <w:p w14:paraId="718A72E9">
            <w:pPr>
              <w:spacing w:before="65" w:line="189" w:lineRule="auto"/>
              <w:ind w:left="396"/>
              <w:rPr>
                <w:rFonts w:ascii="宋体" w:hAnsi="宋体" w:eastAsia="宋体" w:cs="宋体"/>
                <w:sz w:val="20"/>
                <w:szCs w:val="20"/>
              </w:rPr>
            </w:pPr>
            <w:r>
              <w:rPr>
                <w:rFonts w:ascii="宋体" w:hAnsi="宋体" w:eastAsia="宋体" w:cs="宋体"/>
                <w:sz w:val="20"/>
                <w:szCs w:val="20"/>
              </w:rPr>
              <w:t>1</w:t>
            </w:r>
          </w:p>
        </w:tc>
        <w:tc>
          <w:tcPr>
            <w:tcW w:w="3258" w:type="dxa"/>
            <w:vAlign w:val="top"/>
          </w:tcPr>
          <w:p w14:paraId="2C21C969">
            <w:pPr>
              <w:spacing w:line="423" w:lineRule="auto"/>
              <w:rPr>
                <w:rFonts w:ascii="Arial"/>
                <w:sz w:val="21"/>
              </w:rPr>
            </w:pPr>
          </w:p>
          <w:p w14:paraId="0F8CCF68">
            <w:pPr>
              <w:spacing w:before="65" w:line="228" w:lineRule="auto"/>
              <w:ind w:left="1007"/>
              <w:rPr>
                <w:rFonts w:ascii="宋体" w:hAnsi="宋体" w:eastAsia="宋体" w:cs="宋体"/>
                <w:sz w:val="20"/>
                <w:szCs w:val="20"/>
              </w:rPr>
            </w:pPr>
            <w:r>
              <w:rPr>
                <w:rFonts w:ascii="宋体" w:hAnsi="宋体" w:eastAsia="宋体" w:cs="宋体"/>
                <w:spacing w:val="7"/>
                <w:sz w:val="20"/>
                <w:szCs w:val="20"/>
              </w:rPr>
              <w:t>厚度极限偏差</w:t>
            </w:r>
          </w:p>
        </w:tc>
        <w:tc>
          <w:tcPr>
            <w:tcW w:w="2551" w:type="dxa"/>
            <w:vAlign w:val="top"/>
          </w:tcPr>
          <w:p w14:paraId="1168E1AE">
            <w:pPr>
              <w:spacing w:line="423" w:lineRule="auto"/>
              <w:rPr>
                <w:rFonts w:ascii="Arial"/>
                <w:sz w:val="21"/>
              </w:rPr>
            </w:pPr>
          </w:p>
          <w:p w14:paraId="25D38576">
            <w:pPr>
              <w:spacing w:before="65" w:line="233" w:lineRule="auto"/>
              <w:ind w:left="490"/>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p>
        </w:tc>
        <w:tc>
          <w:tcPr>
            <w:tcW w:w="2271" w:type="dxa"/>
            <w:vAlign w:val="top"/>
          </w:tcPr>
          <w:p w14:paraId="2E3BBDDC">
            <w:pPr>
              <w:spacing w:before="175" w:line="393" w:lineRule="auto"/>
              <w:ind w:left="351" w:right="344"/>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r>
              <w:rPr>
                <w:rFonts w:ascii="宋体" w:hAnsi="宋体" w:eastAsia="宋体" w:cs="宋体"/>
                <w:spacing w:val="9"/>
                <w:sz w:val="20"/>
                <w:szCs w:val="20"/>
              </w:rPr>
              <w:t xml:space="preserve"> </w:t>
            </w:r>
            <w:r>
              <w:rPr>
                <w:rFonts w:ascii="宋体" w:hAnsi="宋体" w:eastAsia="宋体" w:cs="宋体"/>
                <w:sz w:val="20"/>
                <w:szCs w:val="20"/>
              </w:rPr>
              <w:t>GB</w:t>
            </w:r>
            <w:r>
              <w:rPr>
                <w:rFonts w:ascii="宋体" w:hAnsi="宋体" w:eastAsia="宋体" w:cs="宋体"/>
                <w:spacing w:val="5"/>
                <w:sz w:val="20"/>
                <w:szCs w:val="20"/>
              </w:rPr>
              <w:t>/T 6672—2001</w:t>
            </w:r>
          </w:p>
        </w:tc>
      </w:tr>
    </w:tbl>
    <w:p w14:paraId="0A627010">
      <w:pPr>
        <w:rPr>
          <w:rFonts w:ascii="Arial"/>
          <w:sz w:val="21"/>
        </w:rPr>
      </w:pPr>
    </w:p>
    <w:p w14:paraId="1B983F0E">
      <w:pPr>
        <w:rPr>
          <w:rFonts w:ascii="Arial" w:hAnsi="Arial" w:eastAsia="Arial" w:cs="Arial"/>
          <w:sz w:val="21"/>
          <w:szCs w:val="21"/>
        </w:rPr>
        <w:sectPr>
          <w:pgSz w:w="11906" w:h="16839"/>
          <w:pgMar w:top="1431" w:right="1475" w:bottom="0" w:left="1474" w:header="0" w:footer="0" w:gutter="0"/>
          <w:cols w:space="720" w:num="1"/>
        </w:sectPr>
      </w:pPr>
    </w:p>
    <w:p w14:paraId="17FE09F1">
      <w:pPr>
        <w:spacing w:before="35"/>
      </w:pPr>
    </w:p>
    <w:p w14:paraId="6B9E21EE">
      <w:pPr>
        <w:spacing w:before="34"/>
      </w:pPr>
    </w:p>
    <w:tbl>
      <w:tblPr>
        <w:tblStyle w:val="5"/>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3258"/>
        <w:gridCol w:w="2551"/>
        <w:gridCol w:w="2271"/>
      </w:tblGrid>
      <w:tr w14:paraId="21012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855" w:type="dxa"/>
            <w:vAlign w:val="top"/>
          </w:tcPr>
          <w:p w14:paraId="605844AC">
            <w:pPr>
              <w:spacing w:line="437" w:lineRule="auto"/>
              <w:rPr>
                <w:rFonts w:ascii="Arial"/>
                <w:sz w:val="21"/>
              </w:rPr>
            </w:pPr>
          </w:p>
          <w:p w14:paraId="5165FD05">
            <w:pPr>
              <w:spacing w:before="65" w:line="189" w:lineRule="auto"/>
              <w:ind w:left="384"/>
              <w:rPr>
                <w:rFonts w:ascii="宋体" w:hAnsi="宋体" w:eastAsia="宋体" w:cs="宋体"/>
                <w:sz w:val="20"/>
                <w:szCs w:val="20"/>
              </w:rPr>
            </w:pPr>
            <w:r>
              <w:rPr>
                <w:rFonts w:ascii="宋体" w:hAnsi="宋体" w:eastAsia="宋体" w:cs="宋体"/>
                <w:sz w:val="20"/>
                <w:szCs w:val="20"/>
              </w:rPr>
              <w:t>2</w:t>
            </w:r>
          </w:p>
        </w:tc>
        <w:tc>
          <w:tcPr>
            <w:tcW w:w="3258" w:type="dxa"/>
            <w:vAlign w:val="top"/>
          </w:tcPr>
          <w:p w14:paraId="2DFE5A5D">
            <w:pPr>
              <w:spacing w:line="404" w:lineRule="auto"/>
              <w:rPr>
                <w:rFonts w:ascii="Arial"/>
                <w:sz w:val="21"/>
              </w:rPr>
            </w:pPr>
          </w:p>
          <w:p w14:paraId="563F4C6C">
            <w:pPr>
              <w:spacing w:before="65" w:line="228" w:lineRule="auto"/>
              <w:ind w:left="1007"/>
              <w:rPr>
                <w:rFonts w:ascii="宋体" w:hAnsi="宋体" w:eastAsia="宋体" w:cs="宋体"/>
                <w:sz w:val="20"/>
                <w:szCs w:val="20"/>
              </w:rPr>
            </w:pPr>
            <w:r>
              <w:rPr>
                <w:rFonts w:ascii="宋体" w:hAnsi="宋体" w:eastAsia="宋体" w:cs="宋体"/>
                <w:spacing w:val="7"/>
                <w:sz w:val="20"/>
                <w:szCs w:val="20"/>
              </w:rPr>
              <w:t>厚度平均偏差</w:t>
            </w:r>
          </w:p>
        </w:tc>
        <w:tc>
          <w:tcPr>
            <w:tcW w:w="2551" w:type="dxa"/>
            <w:vAlign w:val="top"/>
          </w:tcPr>
          <w:p w14:paraId="17CFDCC4">
            <w:pPr>
              <w:spacing w:line="404" w:lineRule="auto"/>
              <w:rPr>
                <w:rFonts w:ascii="Arial"/>
                <w:sz w:val="21"/>
              </w:rPr>
            </w:pPr>
          </w:p>
          <w:p w14:paraId="2D0198E1">
            <w:pPr>
              <w:spacing w:before="65" w:line="233" w:lineRule="auto"/>
              <w:ind w:left="490"/>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p>
        </w:tc>
        <w:tc>
          <w:tcPr>
            <w:tcW w:w="2271" w:type="dxa"/>
            <w:vAlign w:val="top"/>
          </w:tcPr>
          <w:p w14:paraId="7BF554EB">
            <w:pPr>
              <w:spacing w:before="177" w:line="393" w:lineRule="auto"/>
              <w:ind w:left="351" w:right="344"/>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r>
              <w:rPr>
                <w:rFonts w:ascii="宋体" w:hAnsi="宋体" w:eastAsia="宋体" w:cs="宋体"/>
                <w:spacing w:val="9"/>
                <w:sz w:val="20"/>
                <w:szCs w:val="20"/>
              </w:rPr>
              <w:t xml:space="preserve"> </w:t>
            </w:r>
            <w:r>
              <w:rPr>
                <w:rFonts w:ascii="宋体" w:hAnsi="宋体" w:eastAsia="宋体" w:cs="宋体"/>
                <w:sz w:val="20"/>
                <w:szCs w:val="20"/>
              </w:rPr>
              <w:t>GB</w:t>
            </w:r>
            <w:r>
              <w:rPr>
                <w:rFonts w:ascii="宋体" w:hAnsi="宋体" w:eastAsia="宋体" w:cs="宋体"/>
                <w:spacing w:val="5"/>
                <w:sz w:val="20"/>
                <w:szCs w:val="20"/>
              </w:rPr>
              <w:t>/T 6672—2001</w:t>
            </w:r>
          </w:p>
        </w:tc>
      </w:tr>
      <w:tr w14:paraId="09A8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55" w:type="dxa"/>
            <w:vAlign w:val="top"/>
          </w:tcPr>
          <w:p w14:paraId="2AB4C7EE">
            <w:pPr>
              <w:spacing w:line="360" w:lineRule="auto"/>
              <w:rPr>
                <w:rFonts w:ascii="Arial"/>
                <w:sz w:val="21"/>
              </w:rPr>
            </w:pPr>
          </w:p>
          <w:p w14:paraId="20004C7C">
            <w:pPr>
              <w:spacing w:before="65" w:line="189" w:lineRule="auto"/>
              <w:ind w:left="385"/>
              <w:rPr>
                <w:rFonts w:ascii="宋体" w:hAnsi="宋体" w:eastAsia="宋体" w:cs="宋体"/>
                <w:sz w:val="20"/>
                <w:szCs w:val="20"/>
              </w:rPr>
            </w:pPr>
            <w:r>
              <w:rPr>
                <w:rFonts w:ascii="宋体" w:hAnsi="宋体" w:eastAsia="宋体" w:cs="宋体"/>
                <w:sz w:val="20"/>
                <w:szCs w:val="20"/>
              </w:rPr>
              <w:t>3</w:t>
            </w:r>
          </w:p>
        </w:tc>
        <w:tc>
          <w:tcPr>
            <w:tcW w:w="3258" w:type="dxa"/>
            <w:vAlign w:val="top"/>
          </w:tcPr>
          <w:p w14:paraId="5C60ED1E">
            <w:pPr>
              <w:spacing w:line="327" w:lineRule="auto"/>
              <w:rPr>
                <w:rFonts w:ascii="Arial"/>
                <w:sz w:val="21"/>
              </w:rPr>
            </w:pPr>
          </w:p>
          <w:p w14:paraId="69961F7C">
            <w:pPr>
              <w:spacing w:before="65" w:line="228" w:lineRule="auto"/>
              <w:ind w:left="584"/>
              <w:rPr>
                <w:rFonts w:ascii="宋体" w:hAnsi="宋体" w:eastAsia="宋体" w:cs="宋体"/>
                <w:sz w:val="20"/>
                <w:szCs w:val="20"/>
              </w:rPr>
            </w:pPr>
            <w:r>
              <w:rPr>
                <w:rFonts w:ascii="宋体" w:hAnsi="宋体" w:eastAsia="宋体" w:cs="宋体"/>
                <w:spacing w:val="7"/>
                <w:sz w:val="20"/>
                <w:szCs w:val="20"/>
              </w:rPr>
              <w:t>拉伸强度（纵、横向）</w:t>
            </w:r>
          </w:p>
        </w:tc>
        <w:tc>
          <w:tcPr>
            <w:tcW w:w="2551" w:type="dxa"/>
            <w:vAlign w:val="top"/>
          </w:tcPr>
          <w:p w14:paraId="1EFE7127">
            <w:pPr>
              <w:spacing w:line="327" w:lineRule="auto"/>
              <w:rPr>
                <w:rFonts w:ascii="Arial"/>
                <w:sz w:val="21"/>
              </w:rPr>
            </w:pPr>
          </w:p>
          <w:p w14:paraId="07823350">
            <w:pPr>
              <w:spacing w:before="65" w:line="233" w:lineRule="auto"/>
              <w:ind w:left="490"/>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p>
        </w:tc>
        <w:tc>
          <w:tcPr>
            <w:tcW w:w="2271" w:type="dxa"/>
            <w:vAlign w:val="top"/>
          </w:tcPr>
          <w:p w14:paraId="1FAEDE38">
            <w:pPr>
              <w:spacing w:before="174" w:line="323" w:lineRule="auto"/>
              <w:ind w:left="245" w:right="241" w:firstLine="105"/>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r>
              <w:rPr>
                <w:rFonts w:ascii="宋体" w:hAnsi="宋体" w:eastAsia="宋体" w:cs="宋体"/>
                <w:spacing w:val="4"/>
                <w:sz w:val="20"/>
                <w:szCs w:val="20"/>
              </w:rPr>
              <w:t xml:space="preserve">  </w:t>
            </w: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8"/>
                <w:sz w:val="20"/>
                <w:szCs w:val="20"/>
              </w:rPr>
              <w:t xml:space="preserve"> </w:t>
            </w:r>
            <w:r>
              <w:rPr>
                <w:rFonts w:ascii="宋体" w:hAnsi="宋体" w:eastAsia="宋体" w:cs="宋体"/>
                <w:spacing w:val="3"/>
                <w:sz w:val="20"/>
                <w:szCs w:val="20"/>
              </w:rPr>
              <w:t>1040.3—2006</w:t>
            </w:r>
          </w:p>
        </w:tc>
      </w:tr>
      <w:tr w14:paraId="5B755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55" w:type="dxa"/>
            <w:vAlign w:val="top"/>
          </w:tcPr>
          <w:p w14:paraId="6A553C9C">
            <w:pPr>
              <w:spacing w:line="361" w:lineRule="auto"/>
              <w:rPr>
                <w:rFonts w:ascii="Arial"/>
                <w:sz w:val="21"/>
              </w:rPr>
            </w:pPr>
          </w:p>
          <w:p w14:paraId="5494A8A0">
            <w:pPr>
              <w:spacing w:before="65" w:line="189" w:lineRule="auto"/>
              <w:ind w:left="380"/>
              <w:rPr>
                <w:rFonts w:ascii="宋体" w:hAnsi="宋体" w:eastAsia="宋体" w:cs="宋体"/>
                <w:sz w:val="20"/>
                <w:szCs w:val="20"/>
              </w:rPr>
            </w:pPr>
            <w:r>
              <w:rPr>
                <w:rFonts w:ascii="宋体" w:hAnsi="宋体" w:eastAsia="宋体" w:cs="宋体"/>
                <w:sz w:val="20"/>
                <w:szCs w:val="20"/>
              </w:rPr>
              <w:t>4</w:t>
            </w:r>
          </w:p>
        </w:tc>
        <w:tc>
          <w:tcPr>
            <w:tcW w:w="3258" w:type="dxa"/>
            <w:vAlign w:val="top"/>
          </w:tcPr>
          <w:p w14:paraId="6BBB1701">
            <w:pPr>
              <w:spacing w:line="328" w:lineRule="auto"/>
              <w:rPr>
                <w:rFonts w:ascii="Arial"/>
                <w:sz w:val="21"/>
              </w:rPr>
            </w:pPr>
          </w:p>
          <w:p w14:paraId="487E7E37">
            <w:pPr>
              <w:spacing w:before="65" w:line="228" w:lineRule="auto"/>
              <w:ind w:left="382"/>
              <w:rPr>
                <w:rFonts w:ascii="宋体" w:hAnsi="宋体" w:eastAsia="宋体" w:cs="宋体"/>
                <w:sz w:val="20"/>
                <w:szCs w:val="20"/>
              </w:rPr>
            </w:pPr>
            <w:r>
              <w:rPr>
                <w:rFonts w:ascii="宋体" w:hAnsi="宋体" w:eastAsia="宋体" w:cs="宋体"/>
                <w:spacing w:val="7"/>
                <w:sz w:val="20"/>
                <w:szCs w:val="20"/>
              </w:rPr>
              <w:t>断裂标称应变（纵、横向）</w:t>
            </w:r>
          </w:p>
        </w:tc>
        <w:tc>
          <w:tcPr>
            <w:tcW w:w="2551" w:type="dxa"/>
            <w:vAlign w:val="top"/>
          </w:tcPr>
          <w:p w14:paraId="59087207">
            <w:pPr>
              <w:spacing w:line="328" w:lineRule="auto"/>
              <w:rPr>
                <w:rFonts w:ascii="Arial"/>
                <w:sz w:val="21"/>
              </w:rPr>
            </w:pPr>
          </w:p>
          <w:p w14:paraId="1CCF5C00">
            <w:pPr>
              <w:spacing w:before="65" w:line="233" w:lineRule="auto"/>
              <w:ind w:left="490"/>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p>
        </w:tc>
        <w:tc>
          <w:tcPr>
            <w:tcW w:w="2271" w:type="dxa"/>
            <w:vAlign w:val="top"/>
          </w:tcPr>
          <w:p w14:paraId="6B5F836A">
            <w:pPr>
              <w:spacing w:before="176" w:line="322" w:lineRule="auto"/>
              <w:ind w:left="245" w:right="241" w:firstLine="105"/>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r>
              <w:rPr>
                <w:rFonts w:ascii="宋体" w:hAnsi="宋体" w:eastAsia="宋体" w:cs="宋体"/>
                <w:spacing w:val="4"/>
                <w:sz w:val="20"/>
                <w:szCs w:val="20"/>
              </w:rPr>
              <w:t xml:space="preserve">  </w:t>
            </w: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8"/>
                <w:sz w:val="20"/>
                <w:szCs w:val="20"/>
              </w:rPr>
              <w:t xml:space="preserve"> </w:t>
            </w:r>
            <w:r>
              <w:rPr>
                <w:rFonts w:ascii="宋体" w:hAnsi="宋体" w:eastAsia="宋体" w:cs="宋体"/>
                <w:spacing w:val="3"/>
                <w:sz w:val="20"/>
                <w:szCs w:val="20"/>
              </w:rPr>
              <w:t>1040.3—2006</w:t>
            </w:r>
          </w:p>
        </w:tc>
      </w:tr>
    </w:tbl>
    <w:p w14:paraId="2AA9FC79">
      <w:pPr>
        <w:pStyle w:val="2"/>
        <w:spacing w:before="173" w:line="228" w:lineRule="auto"/>
        <w:ind w:left="427"/>
      </w:pPr>
      <w:r>
        <w:rPr>
          <w:spacing w:val="9"/>
        </w:rPr>
        <w:t>执行企业标准、团体标准、地方标准的产品，检验项目参照上述内容执行。</w:t>
      </w:r>
    </w:p>
    <w:p w14:paraId="16CB5B5A">
      <w:pPr>
        <w:pStyle w:val="2"/>
        <w:spacing w:before="193" w:line="390" w:lineRule="auto"/>
        <w:ind w:left="10" w:firstLine="420"/>
      </w:pPr>
      <w:r>
        <w:rPr>
          <w:spacing w:val="8"/>
        </w:rPr>
        <w:t>凡是注日期的文件，其随后所有的修改单（不包括勘误的内容）或修订版不适用于</w:t>
      </w:r>
      <w:r>
        <w:rPr>
          <w:spacing w:val="7"/>
        </w:rPr>
        <w:t>本细则。凡</w:t>
      </w:r>
      <w:r>
        <w:t xml:space="preserve"> </w:t>
      </w:r>
      <w:r>
        <w:rPr>
          <w:spacing w:val="8"/>
        </w:rPr>
        <w:t>是不注日期的文件，其最新版本适用于本细则。</w:t>
      </w:r>
    </w:p>
    <w:p w14:paraId="37F53FA0">
      <w:pPr>
        <w:spacing w:line="406" w:lineRule="auto"/>
        <w:rPr>
          <w:rFonts w:ascii="Arial"/>
          <w:sz w:val="21"/>
        </w:rPr>
      </w:pPr>
    </w:p>
    <w:p w14:paraId="5BCEB04F">
      <w:pPr>
        <w:spacing w:before="65" w:line="230" w:lineRule="auto"/>
        <w:ind w:left="7"/>
        <w:rPr>
          <w:rFonts w:ascii="黑体" w:hAnsi="黑体" w:eastAsia="黑体" w:cs="黑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7"/>
          <w:sz w:val="20"/>
          <w:szCs w:val="20"/>
        </w:rPr>
        <w:t xml:space="preserve">  </w:t>
      </w:r>
      <w:r>
        <w:rPr>
          <w:rFonts w:ascii="黑体" w:hAnsi="黑体" w:eastAsia="黑体" w:cs="黑体"/>
          <w:spacing w:val="5"/>
          <w:sz w:val="20"/>
          <w:szCs w:val="20"/>
        </w:rPr>
        <w:t>判定规则</w:t>
      </w:r>
    </w:p>
    <w:p w14:paraId="3E0722DC">
      <w:pPr>
        <w:pStyle w:val="2"/>
        <w:spacing w:before="189" w:line="227" w:lineRule="auto"/>
        <w:ind w:left="7"/>
      </w:pPr>
      <w:r>
        <w:rPr>
          <w:rFonts w:ascii="Times New Roman" w:hAnsi="Times New Roman" w:eastAsia="Times New Roman" w:cs="Times New Roman"/>
          <w:spacing w:val="1"/>
        </w:rPr>
        <w:t>3.</w:t>
      </w:r>
      <w:r>
        <w:rPr>
          <w:rFonts w:ascii="Times New Roman" w:hAnsi="Times New Roman" w:eastAsia="Times New Roman" w:cs="Times New Roman"/>
          <w:spacing w:val="-2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7"/>
        </w:rPr>
        <w:t xml:space="preserve">  </w:t>
      </w:r>
      <w:r>
        <w:rPr>
          <w:spacing w:val="1"/>
        </w:rPr>
        <w:t>依据标准</w:t>
      </w:r>
    </w:p>
    <w:p w14:paraId="1C56BDDB">
      <w:pPr>
        <w:pStyle w:val="2"/>
        <w:spacing w:before="196" w:line="228" w:lineRule="auto"/>
        <w:ind w:left="426"/>
      </w:pPr>
      <w:r>
        <w:rPr>
          <w:rFonts w:ascii="Times New Roman" w:hAnsi="Times New Roman" w:eastAsia="Times New Roman" w:cs="Times New Roman"/>
        </w:rPr>
        <w:t>GB</w:t>
      </w:r>
      <w:r>
        <w:rPr>
          <w:rFonts w:ascii="Times New Roman" w:hAnsi="Times New Roman" w:eastAsia="Times New Roman" w:cs="Times New Roman"/>
          <w:spacing w:val="7"/>
        </w:rPr>
        <w:t xml:space="preserve">13735—2017  </w:t>
      </w:r>
      <w:r>
        <w:rPr>
          <w:spacing w:val="7"/>
        </w:rPr>
        <w:t>聚乙烯吹塑农用地面覆盖薄膜</w:t>
      </w:r>
    </w:p>
    <w:p w14:paraId="30F11643">
      <w:pPr>
        <w:pStyle w:val="2"/>
        <w:spacing w:before="192" w:line="228" w:lineRule="auto"/>
        <w:ind w:left="426"/>
      </w:pPr>
      <w:r>
        <w:rPr>
          <w:rFonts w:ascii="Times New Roman" w:hAnsi="Times New Roman" w:eastAsia="Times New Roman" w:cs="Times New Roman"/>
        </w:rPr>
        <w:t>GB</w:t>
      </w:r>
      <w:r>
        <w:rPr>
          <w:rFonts w:ascii="Times New Roman" w:hAnsi="Times New Roman" w:eastAsia="Times New Roman" w:cs="Times New Roman"/>
          <w:spacing w:val="7"/>
        </w:rPr>
        <w:t xml:space="preserve">/T 4455—2019  </w:t>
      </w:r>
      <w:r>
        <w:rPr>
          <w:spacing w:val="7"/>
        </w:rPr>
        <w:t>农业用聚乙烯吹塑</w:t>
      </w:r>
      <w:r>
        <w:rPr>
          <w:spacing w:val="6"/>
        </w:rPr>
        <w:t>棚膜</w:t>
      </w:r>
    </w:p>
    <w:p w14:paraId="65B0D562">
      <w:pPr>
        <w:pStyle w:val="2"/>
        <w:spacing w:before="193" w:line="393" w:lineRule="auto"/>
        <w:ind w:left="7" w:right="2659" w:firstLine="421"/>
      </w:pPr>
      <w:r>
        <w:rPr>
          <w:spacing w:val="9"/>
        </w:rPr>
        <w:t>现行有效的企业标准、团体标准、地方标准及产品明示质量要求</w:t>
      </w:r>
      <w:r>
        <w:rPr>
          <w:spacing w:val="14"/>
        </w:rPr>
        <w:t xml:space="preserve"> </w:t>
      </w:r>
      <w:r>
        <w:rPr>
          <w:rFonts w:ascii="Times New Roman" w:hAnsi="Times New Roman" w:eastAsia="Times New Roman" w:cs="Times New Roman"/>
          <w:spacing w:val="5"/>
        </w:rPr>
        <w:t xml:space="preserve">3.2 </w:t>
      </w:r>
      <w:r>
        <w:rPr>
          <w:spacing w:val="5"/>
        </w:rPr>
        <w:t>判定原则</w:t>
      </w:r>
    </w:p>
    <w:p w14:paraId="730D5ED6">
      <w:pPr>
        <w:pStyle w:val="2"/>
        <w:spacing w:before="28" w:line="391" w:lineRule="auto"/>
        <w:ind w:left="10" w:firstLine="418"/>
      </w:pPr>
      <w:r>
        <w:rPr>
          <w:spacing w:val="8"/>
        </w:rPr>
        <w:t>经检验，检验项目全部合格，判定为被抽查产品所检项目未发现不合格；检验项目中任一</w:t>
      </w:r>
      <w:r>
        <w:rPr>
          <w:spacing w:val="7"/>
        </w:rPr>
        <w:t>项或</w:t>
      </w:r>
      <w:r>
        <w:t xml:space="preserve"> </w:t>
      </w:r>
      <w:r>
        <w:rPr>
          <w:spacing w:val="8"/>
        </w:rPr>
        <w:t>一项以上不合格，判定为被抽查产品不合格。</w:t>
      </w:r>
    </w:p>
    <w:p w14:paraId="3C1E2C4F">
      <w:pPr>
        <w:pStyle w:val="2"/>
        <w:spacing w:before="35" w:line="391" w:lineRule="auto"/>
        <w:ind w:left="7" w:firstLine="420"/>
      </w:pPr>
      <w:r>
        <w:rPr>
          <w:spacing w:val="8"/>
        </w:rPr>
        <w:t>若被检产品明示的质量要求高于本细则中检验项目依据的标准要求时，应按被检产品明示</w:t>
      </w:r>
      <w:r>
        <w:rPr>
          <w:spacing w:val="7"/>
        </w:rPr>
        <w:t>的质</w:t>
      </w:r>
      <w:r>
        <w:t xml:space="preserve"> </w:t>
      </w:r>
      <w:r>
        <w:rPr>
          <w:spacing w:val="6"/>
        </w:rPr>
        <w:t>量要求判定。</w:t>
      </w:r>
    </w:p>
    <w:p w14:paraId="5C90386C">
      <w:pPr>
        <w:pStyle w:val="2"/>
        <w:spacing w:before="31" w:line="393" w:lineRule="auto"/>
        <w:ind w:left="9" w:firstLine="419"/>
      </w:pPr>
      <w:r>
        <w:rPr>
          <w:spacing w:val="8"/>
        </w:rPr>
        <w:t>若被检产品明示的质量要求低于本细则中检验项目依据的强制性标准要求时，应按照强制</w:t>
      </w:r>
      <w:r>
        <w:rPr>
          <w:spacing w:val="7"/>
        </w:rPr>
        <w:t>性标</w:t>
      </w:r>
      <w:r>
        <w:t xml:space="preserve"> </w:t>
      </w:r>
      <w:r>
        <w:rPr>
          <w:spacing w:val="6"/>
        </w:rPr>
        <w:t>准要求判定。</w:t>
      </w:r>
    </w:p>
    <w:p w14:paraId="7121406A">
      <w:pPr>
        <w:pStyle w:val="2"/>
        <w:spacing w:before="29" w:line="391" w:lineRule="auto"/>
        <w:ind w:left="7" w:firstLine="420"/>
      </w:pPr>
      <w:r>
        <w:rPr>
          <w:spacing w:val="8"/>
        </w:rPr>
        <w:t>若被检产品明示的质量要求低于或包含本细则中检验项目依据的推荐性标准要求时，应以</w:t>
      </w:r>
      <w:r>
        <w:rPr>
          <w:spacing w:val="7"/>
        </w:rPr>
        <w:t>被检</w:t>
      </w:r>
      <w:r>
        <w:t xml:space="preserve"> </w:t>
      </w:r>
      <w:r>
        <w:rPr>
          <w:spacing w:val="8"/>
        </w:rPr>
        <w:t>产品明示的质量要求判定。</w:t>
      </w:r>
    </w:p>
    <w:p w14:paraId="5154C5F1">
      <w:pPr>
        <w:pStyle w:val="2"/>
        <w:spacing w:before="34" w:line="391" w:lineRule="auto"/>
        <w:ind w:left="9" w:firstLine="419"/>
      </w:pPr>
      <w:r>
        <w:rPr>
          <w:spacing w:val="8"/>
        </w:rPr>
        <w:t>若被检产品明示的质量要求缺少本细则中检验项目依据的强制性标准要求时，应按照强制</w:t>
      </w:r>
      <w:r>
        <w:rPr>
          <w:spacing w:val="7"/>
        </w:rPr>
        <w:t>性标</w:t>
      </w:r>
      <w:r>
        <w:t xml:space="preserve"> </w:t>
      </w:r>
      <w:r>
        <w:rPr>
          <w:spacing w:val="6"/>
        </w:rPr>
        <w:t>准要求判定。</w:t>
      </w:r>
    </w:p>
    <w:p w14:paraId="6E2F3795">
      <w:pPr>
        <w:pStyle w:val="2"/>
        <w:spacing w:before="31" w:line="227" w:lineRule="auto"/>
        <w:jc w:val="right"/>
      </w:pPr>
      <w:r>
        <w:rPr>
          <w:spacing w:val="8"/>
        </w:rPr>
        <w:t>若被检产品明示的质量要求缺少本细则中检验项目依据的推荐性标准要求时，该项目不参</w:t>
      </w:r>
      <w:r>
        <w:rPr>
          <w:spacing w:val="7"/>
        </w:rPr>
        <w:t>与判</w:t>
      </w:r>
    </w:p>
    <w:p w14:paraId="7C29EB89">
      <w:pPr>
        <w:spacing w:line="227" w:lineRule="auto"/>
        <w:sectPr>
          <w:pgSz w:w="11906" w:h="16839"/>
          <w:pgMar w:top="1431" w:right="1475" w:bottom="0" w:left="1474" w:header="0" w:footer="0" w:gutter="0"/>
          <w:cols w:space="720" w:num="1"/>
        </w:sectPr>
      </w:pPr>
    </w:p>
    <w:p w14:paraId="1A5C7A30">
      <w:pPr>
        <w:spacing w:line="328" w:lineRule="auto"/>
        <w:rPr>
          <w:rFonts w:ascii="Arial"/>
          <w:sz w:val="21"/>
        </w:rPr>
      </w:pPr>
    </w:p>
    <w:p w14:paraId="1B6F7DAF">
      <w:pPr>
        <w:spacing w:line="328" w:lineRule="auto"/>
        <w:rPr>
          <w:rFonts w:ascii="Arial"/>
          <w:sz w:val="21"/>
        </w:rPr>
      </w:pPr>
    </w:p>
    <w:p w14:paraId="1A412A5F">
      <w:pPr>
        <w:pStyle w:val="2"/>
        <w:spacing w:before="65" w:line="228" w:lineRule="auto"/>
      </w:pPr>
      <w:r>
        <w:rPr>
          <w:spacing w:val="-3"/>
        </w:rPr>
        <w:t>定。</w:t>
      </w:r>
    </w:p>
    <w:sectPr>
      <w:pgSz w:w="11906" w:h="16839"/>
      <w:pgMar w:top="1431" w:right="1785" w:bottom="0" w:left="14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EA01BB"/>
    <w:rsid w:val="336A0CC1"/>
    <w:rsid w:val="79A65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870</Words>
  <Characters>1128</Characters>
  <TotalTime>3</TotalTime>
  <ScaleCrop>false</ScaleCrop>
  <LinksUpToDate>false</LinksUpToDate>
  <CharactersWithSpaces>1211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2025-02-05T09:39:00Z</dcterms:created>
  <dc:creator>神奇的宋</dc:creator>
  <cp:lastModifiedBy>WPS_1645145261</cp:lastModifiedBy>
  <dcterms:modified xsi:type="dcterms:W3CDTF">2026-05-21T08:35:23Z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2025-05-01T15:42:03Z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2052-12.1.0.25865</vt:lpwstr>
  </property>
  <property fmtid="{D5CDD505-2E9C-101B-9397-08002B2CF9AE}" pid="6" name="ICV">
    <vt:lpwstr>3CBC904BFD3D455A8BBAD54B410F5E94_12</vt:lpwstr>
  </property>
</Properties>
</file>