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AAA69">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C61A9">
                            <w:pPr>
                              <w:keepNext w:val="0"/>
                              <w:keepLines w:val="0"/>
                              <w:pageBreakBefore w:val="0"/>
                              <w:widowControl w:val="0"/>
                              <w:kinsoku/>
                              <w:wordWrap/>
                              <w:overflowPunct/>
                              <w:topLinePunct w:val="0"/>
                              <w:bidi w:val="0"/>
                              <w:adjustRightInd w:val="0"/>
                              <w:snapToGrid w:val="0"/>
                              <w:textAlignment w:val="auto"/>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eastAsia" w:ascii="黑体" w:hAnsi="黑体" w:eastAsia="黑体" w:cs="黑体"/>
                                <w:sz w:val="21"/>
                                <w:lang w:val="en-US" w:eastAsia="zh-CN"/>
                              </w:rPr>
                              <w:t>91.010.01</w:t>
                            </w:r>
                          </w:p>
                          <w:tbl>
                            <w:tblPr>
                              <w:tblStyle w:val="1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126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F827CC0">
                                  <w:pPr>
                                    <w:pStyle w:val="11"/>
                                    <w:tabs>
                                      <w:tab w:val="clear" w:pos="4153"/>
                                      <w:tab w:val="clear" w:pos="8306"/>
                                    </w:tabs>
                                    <w:spacing w:before="40"/>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p w14:paraId="64D7CCFA">
                                  <w:pPr>
                                    <w:pStyle w:val="11"/>
                                    <w:tabs>
                                      <w:tab w:val="clear" w:pos="4153"/>
                                      <w:tab w:val="clear" w:pos="8306"/>
                                    </w:tabs>
                                    <w:spacing w:before="40"/>
                                    <w:jc w:val="left"/>
                                    <w:rPr>
                                      <w:rFonts w:ascii="黑体" w:hAnsi="黑体" w:eastAsia="黑体"/>
                                      <w:sz w:val="21"/>
                                      <w:szCs w:val="21"/>
                                    </w:rPr>
                                  </w:pPr>
                                </w:p>
                              </w:tc>
                              <w:tc>
                                <w:tcPr>
                                  <w:tcW w:w="8855" w:type="dxa"/>
                                </w:tcPr>
                                <w:p w14:paraId="7E8BDFBA">
                                  <w:pPr>
                                    <w:pStyle w:val="11"/>
                                    <w:tabs>
                                      <w:tab w:val="clear" w:pos="4153"/>
                                      <w:tab w:val="clear" w:pos="8306"/>
                                    </w:tabs>
                                    <w:spacing w:before="40"/>
                                    <w:jc w:val="left"/>
                                    <w:rPr>
                                      <w:rFonts w:hint="eastAsia" w:ascii="黑体" w:hAnsi="黑体" w:eastAsia="黑体"/>
                                      <w:sz w:val="21"/>
                                      <w:szCs w:val="21"/>
                                      <w:lang w:val="en-US" w:eastAsia="zh-CN"/>
                                    </w:rPr>
                                  </w:pPr>
                                  <w:r>
                                    <w:rPr>
                                      <w:rFonts w:hint="eastAsia" w:ascii="黑体" w:hAnsi="黑体" w:eastAsia="黑体"/>
                                      <w:sz w:val="21"/>
                                      <w:szCs w:val="21"/>
                                      <w:lang w:val="en-US" w:eastAsia="zh-CN"/>
                                    </w:rPr>
                                    <w:t>A 12</w:t>
                                  </w:r>
                                </w:p>
                                <w:p w14:paraId="22709E08">
                                  <w:pPr>
                                    <w:pStyle w:val="11"/>
                                    <w:tabs>
                                      <w:tab w:val="clear" w:pos="4153"/>
                                      <w:tab w:val="clear" w:pos="8306"/>
                                    </w:tabs>
                                    <w:spacing w:before="40"/>
                                    <w:jc w:val="left"/>
                                    <w:rPr>
                                      <w:rFonts w:hint="eastAsia" w:ascii="黑体" w:hAnsi="黑体" w:eastAsia="黑体"/>
                                      <w:sz w:val="21"/>
                                      <w:szCs w:val="21"/>
                                      <w:lang w:val="en-US" w:eastAsia="zh-CN"/>
                                    </w:rPr>
                                  </w:pPr>
                                </w:p>
                                <w:p w14:paraId="386C1382">
                                  <w:pPr>
                                    <w:pStyle w:val="11"/>
                                    <w:tabs>
                                      <w:tab w:val="clear" w:pos="4153"/>
                                      <w:tab w:val="clear" w:pos="8306"/>
                                    </w:tabs>
                                    <w:spacing w:before="40"/>
                                    <w:jc w:val="left"/>
                                    <w:rPr>
                                      <w:rFonts w:hint="eastAsia" w:ascii="黑体" w:hAnsi="黑体" w:eastAsia="黑体"/>
                                      <w:sz w:val="21"/>
                                      <w:szCs w:val="21"/>
                                      <w:lang w:val="en-US" w:eastAsia="zh-CN"/>
                                    </w:rPr>
                                  </w:pPr>
                                </w:p>
                              </w:tc>
                            </w:tr>
                          </w:tbl>
                          <w:p w14:paraId="2C1DE1BE">
                            <w:pPr>
                              <w:keepNext w:val="0"/>
                              <w:keepLines w:val="0"/>
                              <w:pageBreakBefore w:val="0"/>
                              <w:widowControl w:val="0"/>
                              <w:kinsoku/>
                              <w:wordWrap/>
                              <w:overflowPunct/>
                              <w:topLinePunct w:val="0"/>
                              <w:bidi w:val="0"/>
                              <w:adjustRightInd w:val="0"/>
                              <w:snapToGrid w:val="0"/>
                              <w:textAlignment w:val="auto"/>
                              <w:rPr>
                                <w:rFonts w:hint="default"/>
                                <w:lang w:val="en-US"/>
                              </w:rPr>
                            </w:pP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59264;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124C61A9">
                      <w:pPr>
                        <w:keepNext w:val="0"/>
                        <w:keepLines w:val="0"/>
                        <w:pageBreakBefore w:val="0"/>
                        <w:widowControl w:val="0"/>
                        <w:kinsoku/>
                        <w:wordWrap/>
                        <w:overflowPunct/>
                        <w:topLinePunct w:val="0"/>
                        <w:bidi w:val="0"/>
                        <w:adjustRightInd w:val="0"/>
                        <w:snapToGrid w:val="0"/>
                        <w:textAlignment w:val="auto"/>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eastAsia" w:ascii="黑体" w:hAnsi="黑体" w:eastAsia="黑体" w:cs="黑体"/>
                          <w:sz w:val="21"/>
                          <w:lang w:val="en-US" w:eastAsia="zh-CN"/>
                        </w:rPr>
                        <w:t>91.010.01</w:t>
                      </w:r>
                    </w:p>
                    <w:tbl>
                      <w:tblPr>
                        <w:tblStyle w:val="1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126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F827CC0">
                            <w:pPr>
                              <w:pStyle w:val="11"/>
                              <w:tabs>
                                <w:tab w:val="clear" w:pos="4153"/>
                                <w:tab w:val="clear" w:pos="8306"/>
                              </w:tabs>
                              <w:spacing w:before="40"/>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p w14:paraId="64D7CCFA">
                            <w:pPr>
                              <w:pStyle w:val="11"/>
                              <w:tabs>
                                <w:tab w:val="clear" w:pos="4153"/>
                                <w:tab w:val="clear" w:pos="8306"/>
                              </w:tabs>
                              <w:spacing w:before="40"/>
                              <w:jc w:val="left"/>
                              <w:rPr>
                                <w:rFonts w:ascii="黑体" w:hAnsi="黑体" w:eastAsia="黑体"/>
                                <w:sz w:val="21"/>
                                <w:szCs w:val="21"/>
                              </w:rPr>
                            </w:pPr>
                          </w:p>
                        </w:tc>
                        <w:tc>
                          <w:tcPr>
                            <w:tcW w:w="8855" w:type="dxa"/>
                          </w:tcPr>
                          <w:p w14:paraId="7E8BDFBA">
                            <w:pPr>
                              <w:pStyle w:val="11"/>
                              <w:tabs>
                                <w:tab w:val="clear" w:pos="4153"/>
                                <w:tab w:val="clear" w:pos="8306"/>
                              </w:tabs>
                              <w:spacing w:before="40"/>
                              <w:jc w:val="left"/>
                              <w:rPr>
                                <w:rFonts w:hint="eastAsia" w:ascii="黑体" w:hAnsi="黑体" w:eastAsia="黑体"/>
                                <w:sz w:val="21"/>
                                <w:szCs w:val="21"/>
                                <w:lang w:val="en-US" w:eastAsia="zh-CN"/>
                              </w:rPr>
                            </w:pPr>
                            <w:r>
                              <w:rPr>
                                <w:rFonts w:hint="eastAsia" w:ascii="黑体" w:hAnsi="黑体" w:eastAsia="黑体"/>
                                <w:sz w:val="21"/>
                                <w:szCs w:val="21"/>
                                <w:lang w:val="en-US" w:eastAsia="zh-CN"/>
                              </w:rPr>
                              <w:t>A 12</w:t>
                            </w:r>
                          </w:p>
                          <w:p w14:paraId="22709E08">
                            <w:pPr>
                              <w:pStyle w:val="11"/>
                              <w:tabs>
                                <w:tab w:val="clear" w:pos="4153"/>
                                <w:tab w:val="clear" w:pos="8306"/>
                              </w:tabs>
                              <w:spacing w:before="40"/>
                              <w:jc w:val="left"/>
                              <w:rPr>
                                <w:rFonts w:hint="eastAsia" w:ascii="黑体" w:hAnsi="黑体" w:eastAsia="黑体"/>
                                <w:sz w:val="21"/>
                                <w:szCs w:val="21"/>
                                <w:lang w:val="en-US" w:eastAsia="zh-CN"/>
                              </w:rPr>
                            </w:pPr>
                          </w:p>
                          <w:p w14:paraId="386C1382">
                            <w:pPr>
                              <w:pStyle w:val="11"/>
                              <w:tabs>
                                <w:tab w:val="clear" w:pos="4153"/>
                                <w:tab w:val="clear" w:pos="8306"/>
                              </w:tabs>
                              <w:spacing w:before="40"/>
                              <w:jc w:val="left"/>
                              <w:rPr>
                                <w:rFonts w:hint="eastAsia" w:ascii="黑体" w:hAnsi="黑体" w:eastAsia="黑体"/>
                                <w:sz w:val="21"/>
                                <w:szCs w:val="21"/>
                                <w:lang w:val="en-US" w:eastAsia="zh-CN"/>
                              </w:rPr>
                            </w:pPr>
                          </w:p>
                        </w:tc>
                      </w:tr>
                    </w:tbl>
                    <w:p w14:paraId="2C1DE1BE">
                      <w:pPr>
                        <w:keepNext w:val="0"/>
                        <w:keepLines w:val="0"/>
                        <w:pageBreakBefore w:val="0"/>
                        <w:widowControl w:val="0"/>
                        <w:kinsoku/>
                        <w:wordWrap/>
                        <w:overflowPunct/>
                        <w:topLinePunct w:val="0"/>
                        <w:bidi w:val="0"/>
                        <w:adjustRightInd w:val="0"/>
                        <w:snapToGrid w:val="0"/>
                        <w:textAlignment w:val="auto"/>
                        <w:rPr>
                          <w:rFonts w:hint="default"/>
                          <w:lang w:val="en-US"/>
                        </w:rPr>
                      </w:pPr>
                      <w:r>
                        <w:br w:type="textWrapping"/>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1214755</wp:posOffset>
                </wp:positionH>
                <wp:positionV relativeFrom="paragraph">
                  <wp:posOffset>52070</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D0D60">
                            <w:pPr>
                              <w:pStyle w:val="64"/>
                              <w:framePr w:w="0" w:hRule="auto" w:wrap="auto" w:vAnchor="margin" w:hAnchor="text" w:xAlign="left" w:yAlign="inline"/>
                              <w:rPr>
                                <w:rFonts w:hint="default"/>
                                <w:color w:val="000000"/>
                              </w:rPr>
                            </w:pPr>
                            <w:r>
                              <w:rPr>
                                <w:rFonts w:hint="eastAsia"/>
                                <w:color w:val="000000"/>
                              </w:rPr>
                              <w:t>T/HBAS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4.1pt;height:69.5pt;width:356.2pt;z-index:251660288;mso-width-relative:page;mso-height-relative:page;" filled="f" stroked="f" coordsize="21600,21600" o:gfxdata="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PaX8dcAAAAJAQAADwAAAAAAAAAB&#10;ACAAAAAiAAAAZHJzL2Rvd25yZXYueG1sUEsBAhQAFAAAAAgAh07iQHgMgElKAgAAdgQAAA4AAAAA&#10;AAAAAQAgAAAAJgEAAGRycy9lMm9Eb2MueG1sUEsFBgAAAAAGAAYAWQEAAOIFAAAAAA==&#10;">
                <v:fill on="f" focussize="0,0"/>
                <v:stroke on="f" weight="0.5pt"/>
                <v:imagedata o:title=""/>
                <o:lock v:ext="edit" aspectratio="f"/>
                <v:textbox inset="0mm,0mm,0mm,0mm">
                  <w:txbxContent>
                    <w:p w14:paraId="350D0D60">
                      <w:pPr>
                        <w:pStyle w:val="64"/>
                        <w:framePr w:w="0" w:hRule="auto" w:wrap="auto" w:vAnchor="margin" w:hAnchor="text" w:xAlign="left" w:yAlign="inline"/>
                        <w:rPr>
                          <w:rFonts w:hint="default"/>
                          <w:color w:val="000000"/>
                        </w:rPr>
                      </w:pPr>
                      <w:r>
                        <w:rPr>
                          <w:rFonts w:hint="eastAsia"/>
                          <w:color w:val="000000"/>
                        </w:rPr>
                        <w:t>T/HBAS</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02AEF">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51"/>
                                <w:szCs w:val="51"/>
                                <w:lang w:val="en-US" w:eastAsia="zh-CN"/>
                              </w:rPr>
                              <w:t>湖北省标准化学会团体标准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0288;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14:paraId="78002AEF">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51"/>
                          <w:szCs w:val="51"/>
                          <w:lang w:val="en-US" w:eastAsia="zh-CN"/>
                        </w:rPr>
                        <w:t>湖北省标准化学会团体标准</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1CA5F6FB">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lang w:eastAsia="zh-CN"/>
                              </w:rPr>
                            </w:pPr>
                            <w:r>
                              <w:rPr>
                                <w:rFonts w:hint="eastAsia" w:ascii="黑体" w:hAnsi="黑体" w:eastAsia="黑体" w:cs="黑体"/>
                                <w:sz w:val="28"/>
                                <w:szCs w:val="28"/>
                              </w:rPr>
                              <w:t xml:space="preserve">T/HBAS </w:t>
                            </w:r>
                            <w:r>
                              <w:rPr>
                                <w:rFonts w:hint="eastAsia" w:ascii="黑体" w:hAnsi="黑体" w:eastAsia="黑体" w:cs="黑体"/>
                                <w:sz w:val="28"/>
                                <w:szCs w:val="28"/>
                                <w:lang w:val="en-US" w:eastAsia="zh-CN"/>
                              </w:rPr>
                              <w:t>XXXX</w:t>
                            </w:r>
                            <w:r>
                              <w:rPr>
                                <w:rFonts w:hint="eastAsia" w:ascii="黑体" w:hAnsi="黑体" w:eastAsia="黑体" w:cs="黑体"/>
                                <w:sz w:val="28"/>
                                <w:szCs w:val="28"/>
                              </w:rPr>
                              <w:t>—202</w:t>
                            </w:r>
                            <w:r>
                              <w:rPr>
                                <w:rFonts w:hint="eastAsia" w:ascii="黑体" w:hAnsi="黑体" w:eastAsia="黑体" w:cs="黑体"/>
                                <w:sz w:val="28"/>
                                <w:szCs w:val="28"/>
                                <w:lang w:val="en-US" w:eastAsia="zh-CN"/>
                              </w:rPr>
                              <w:t>6</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0288;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1CA5F6FB">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lang w:eastAsia="zh-CN"/>
                        </w:rPr>
                      </w:pPr>
                      <w:r>
                        <w:rPr>
                          <w:rFonts w:hint="eastAsia" w:ascii="黑体" w:hAnsi="黑体" w:eastAsia="黑体" w:cs="黑体"/>
                          <w:sz w:val="28"/>
                          <w:szCs w:val="28"/>
                        </w:rPr>
                        <w:t xml:space="preserve">T/HBAS </w:t>
                      </w:r>
                      <w:r>
                        <w:rPr>
                          <w:rFonts w:hint="eastAsia" w:ascii="黑体" w:hAnsi="黑体" w:eastAsia="黑体" w:cs="黑体"/>
                          <w:sz w:val="28"/>
                          <w:szCs w:val="28"/>
                          <w:lang w:val="en-US" w:eastAsia="zh-CN"/>
                        </w:rPr>
                        <w:t>XXXX</w:t>
                      </w:r>
                      <w:r>
                        <w:rPr>
                          <w:rFonts w:hint="eastAsia" w:ascii="黑体" w:hAnsi="黑体" w:eastAsia="黑体" w:cs="黑体"/>
                          <w:sz w:val="28"/>
                          <w:szCs w:val="28"/>
                        </w:rPr>
                        <w:t>—202</w:t>
                      </w:r>
                      <w:r>
                        <w:rPr>
                          <w:rFonts w:hint="eastAsia" w:ascii="黑体" w:hAnsi="黑体" w:eastAsia="黑体" w:cs="黑体"/>
                          <w:sz w:val="28"/>
                          <w:szCs w:val="28"/>
                          <w:lang w:val="en-US" w:eastAsia="zh-CN"/>
                        </w:rPr>
                        <w:t>6</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16F02CE9">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2336;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16F02CE9">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7456;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AB11C">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color w:val="auto"/>
                                <w:sz w:val="52"/>
                                <w:szCs w:val="52"/>
                                <w:lang w:val="en-US" w:eastAsia="zh-CN"/>
                              </w:rPr>
                            </w:pPr>
                            <w:r>
                              <w:rPr>
                                <w:rFonts w:hint="eastAsia" w:ascii="黑体" w:hAnsi="黑体" w:eastAsia="黑体" w:cs="黑体"/>
                                <w:sz w:val="55"/>
                                <w:szCs w:val="55"/>
                                <w:lang w:val="en-US" w:eastAsia="zh-CN"/>
                              </w:rPr>
                              <w:t>跨区域</w:t>
                            </w:r>
                            <w:r>
                              <w:rPr>
                                <w:rFonts w:hint="eastAsia" w:ascii="黑体" w:hAnsi="黑体" w:eastAsia="黑体" w:cs="黑体"/>
                                <w:color w:val="auto"/>
                                <w:sz w:val="55"/>
                                <w:szCs w:val="55"/>
                                <w:lang w:val="en-US" w:eastAsia="zh-CN"/>
                              </w:rPr>
                              <w:t>综合物流园区建设标准</w:t>
                            </w:r>
                          </w:p>
                          <w:p w14:paraId="4E6A50DD">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 xml:space="preserve">Standard for construction of cross-regional comprehensive </w:t>
                            </w:r>
                          </w:p>
                          <w:p w14:paraId="73FF35F1">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logistics park</w:t>
                            </w:r>
                          </w:p>
                          <w:p w14:paraId="51ECB9A8">
                            <w:pPr>
                              <w:spacing w:before="640" w:line="400" w:lineRule="exact"/>
                              <w:jc w:val="center"/>
                              <w:textAlignment w:val="auto"/>
                              <w:rPr>
                                <w:rFonts w:hint="default" w:ascii="Times New Roman" w:hAnsi="Times New Roman" w:cs="Times New Roman"/>
                                <w:b w:val="0"/>
                                <w:bCs w:val="0"/>
                                <w:sz w:val="28"/>
                                <w:szCs w:val="28"/>
                              </w:rPr>
                            </w:pPr>
                          </w:p>
                          <w:p w14:paraId="105735F0">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（征求意见稿）</w:t>
                            </w:r>
                            <w:r>
                              <w:br w:type="textWrapping"/>
                            </w:r>
                          </w:p>
                          <w:p w14:paraId="5E53B464">
                            <w:pPr>
                              <w:spacing w:before="567"/>
                              <w:jc w:val="center"/>
                              <w:textAlignment w:val="auto"/>
                              <w:rPr>
                                <w:rFonts w:hint="default" w:ascii="宋体" w:hAnsi="宋体" w:eastAsia="宋体" w:cs="宋体"/>
                                <w:b w:val="0"/>
                                <w:bCs w:val="0"/>
                                <w:sz w:val="24"/>
                                <w:szCs w:val="24"/>
                                <w:lang w:val="en-US" w:eastAsia="zh-CN"/>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3360;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45AAB11C">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color w:val="auto"/>
                          <w:sz w:val="52"/>
                          <w:szCs w:val="52"/>
                          <w:lang w:val="en-US" w:eastAsia="zh-CN"/>
                        </w:rPr>
                      </w:pPr>
                      <w:r>
                        <w:rPr>
                          <w:rFonts w:hint="eastAsia" w:ascii="黑体" w:hAnsi="黑体" w:eastAsia="黑体" w:cs="黑体"/>
                          <w:sz w:val="55"/>
                          <w:szCs w:val="55"/>
                          <w:lang w:val="en-US" w:eastAsia="zh-CN"/>
                        </w:rPr>
                        <w:t>跨区域</w:t>
                      </w:r>
                      <w:r>
                        <w:rPr>
                          <w:rFonts w:hint="eastAsia" w:ascii="黑体" w:hAnsi="黑体" w:eastAsia="黑体" w:cs="黑体"/>
                          <w:color w:val="auto"/>
                          <w:sz w:val="55"/>
                          <w:szCs w:val="55"/>
                          <w:lang w:val="en-US" w:eastAsia="zh-CN"/>
                        </w:rPr>
                        <w:t>综合物流园区建设标准</w:t>
                      </w:r>
                    </w:p>
                    <w:p w14:paraId="4E6A50DD">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 xml:space="preserve">Standard for construction of cross-regional comprehensive </w:t>
                      </w:r>
                    </w:p>
                    <w:p w14:paraId="73FF35F1">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logistics park</w:t>
                      </w:r>
                    </w:p>
                    <w:p w14:paraId="51ECB9A8">
                      <w:pPr>
                        <w:spacing w:before="640" w:line="400" w:lineRule="exact"/>
                        <w:jc w:val="center"/>
                        <w:textAlignment w:val="auto"/>
                        <w:rPr>
                          <w:rFonts w:hint="default" w:ascii="Times New Roman" w:hAnsi="Times New Roman" w:cs="Times New Roman"/>
                          <w:b w:val="0"/>
                          <w:bCs w:val="0"/>
                          <w:sz w:val="28"/>
                          <w:szCs w:val="28"/>
                        </w:rPr>
                      </w:pPr>
                    </w:p>
                    <w:p w14:paraId="105735F0">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（征求意见稿）</w:t>
                      </w:r>
                      <w:r>
                        <w:br w:type="textWrapping"/>
                      </w:r>
                    </w:p>
                    <w:p w14:paraId="5E53B464">
                      <w:pPr>
                        <w:spacing w:before="567"/>
                        <w:jc w:val="center"/>
                        <w:textAlignment w:val="auto"/>
                        <w:rPr>
                          <w:rFonts w:hint="default" w:ascii="宋体" w:hAnsi="宋体" w:eastAsia="宋体" w:cs="宋体"/>
                          <w:b w:val="0"/>
                          <w:bCs w:val="0"/>
                          <w:sz w:val="24"/>
                          <w:szCs w:val="24"/>
                          <w:lang w:val="en-US" w:eastAsia="zh-CN"/>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8480;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04ED9">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lang w:val="en-US" w:eastAsia="zh-CN"/>
                              </w:rPr>
                              <w:t>2026</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4384;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33904ED9">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lang w:val="en-US" w:eastAsia="zh-CN"/>
                        </w:rPr>
                        <w:t>2026</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 发布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FB941">
                            <w:pPr>
                              <w:jc w:val="right"/>
                              <w:rPr>
                                <w:rFonts w:hint="default"/>
                                <w:lang w:val="en-US"/>
                              </w:rPr>
                            </w:pPr>
                            <w:r>
                              <w:rPr>
                                <w:rFonts w:hint="eastAsia" w:ascii="黑体" w:hAnsi="黑体" w:eastAsia="黑体" w:cs="黑体"/>
                                <w:sz w:val="28"/>
                                <w:lang w:val="en-US" w:eastAsia="zh-CN"/>
                              </w:rPr>
                              <w:t>2026</w:t>
                            </w:r>
                            <w:r>
                              <w:rPr>
                                <w:rFonts w:hint="eastAsia" w:ascii="黑体" w:hAnsi="黑体" w:eastAsia="黑体" w:cs="黑体"/>
                                <w:sz w:val="28"/>
                              </w:rPr>
                              <w:t>-</w:t>
                            </w:r>
                            <w:r>
                              <w:rPr>
                                <w:rFonts w:hint="eastAsia" w:ascii="黑体" w:hAnsi="黑体" w:eastAsia="黑体" w:cs="黑体"/>
                                <w:sz w:val="28"/>
                                <w:lang w:val="en-US" w:eastAsia="zh-CN"/>
                              </w:rPr>
                              <w:t>XX</w:t>
                            </w:r>
                            <w:r>
                              <w:rPr>
                                <w:rFonts w:hint="eastAsia" w:ascii="黑体" w:hAnsi="黑体" w:eastAsia="黑体" w:cs="黑体"/>
                                <w:sz w:val="28"/>
                              </w:rPr>
                              <w:t>-</w:t>
                            </w:r>
                            <w:r>
                              <w:rPr>
                                <w:rFonts w:hint="eastAsia" w:ascii="黑体" w:hAnsi="黑体" w:eastAsia="黑体" w:cs="黑体"/>
                                <w:sz w:val="28"/>
                                <w:lang w:val="en-US" w:eastAsia="zh-CN"/>
                              </w:rPr>
                              <w:t>XX</w:t>
                            </w:r>
                            <w:r>
                              <w:rPr>
                                <w:rFonts w:hint="eastAsia" w:ascii="黑体" w:hAnsi="黑体" w:eastAsia="黑体" w:cs="黑体"/>
                                <w:sz w:val="28"/>
                              </w:rPr>
                              <w:t xml:space="preserve">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5408;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6DEFB941">
                      <w:pPr>
                        <w:jc w:val="right"/>
                        <w:rPr>
                          <w:rFonts w:hint="default"/>
                          <w:lang w:val="en-US"/>
                        </w:rPr>
                      </w:pPr>
                      <w:r>
                        <w:rPr>
                          <w:rFonts w:hint="eastAsia" w:ascii="黑体" w:hAnsi="黑体" w:eastAsia="黑体" w:cs="黑体"/>
                          <w:sz w:val="28"/>
                          <w:lang w:val="en-US" w:eastAsia="zh-CN"/>
                        </w:rPr>
                        <w:t>2026</w:t>
                      </w:r>
                      <w:r>
                        <w:rPr>
                          <w:rFonts w:hint="eastAsia" w:ascii="黑体" w:hAnsi="黑体" w:eastAsia="黑体" w:cs="黑体"/>
                          <w:sz w:val="28"/>
                        </w:rPr>
                        <w:t>-</w:t>
                      </w:r>
                      <w:r>
                        <w:rPr>
                          <w:rFonts w:hint="eastAsia" w:ascii="黑体" w:hAnsi="黑体" w:eastAsia="黑体" w:cs="黑体"/>
                          <w:sz w:val="28"/>
                          <w:lang w:val="en-US" w:eastAsia="zh-CN"/>
                        </w:rPr>
                        <w:t>XX</w:t>
                      </w:r>
                      <w:r>
                        <w:rPr>
                          <w:rFonts w:hint="eastAsia" w:ascii="黑体" w:hAnsi="黑体" w:eastAsia="黑体" w:cs="黑体"/>
                          <w:sz w:val="28"/>
                        </w:rPr>
                        <w:t>-</w:t>
                      </w:r>
                      <w:r>
                        <w:rPr>
                          <w:rFonts w:hint="eastAsia" w:ascii="黑体" w:hAnsi="黑体" w:eastAsia="黑体" w:cs="黑体"/>
                          <w:sz w:val="28"/>
                          <w:lang w:val="en-US" w:eastAsia="zh-CN"/>
                        </w:rPr>
                        <w:t>XX</w:t>
                      </w:r>
                      <w:r>
                        <w:rPr>
                          <w:rFonts w:hint="eastAsia" w:ascii="黑体" w:hAnsi="黑体" w:eastAsia="黑体" w:cs="黑体"/>
                          <w:sz w:val="28"/>
                        </w:rPr>
                        <w:t xml:space="preserve"> 实施</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9217025</wp:posOffset>
                </wp:positionV>
                <wp:extent cx="6129020" cy="8420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842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7"/>
                              <w:tblW w:w="0" w:type="auto"/>
                              <w:jc w:val="center"/>
                              <w:tblLayout w:type="autofit"/>
                              <w:tblCellMar>
                                <w:top w:w="85" w:type="dxa"/>
                                <w:left w:w="0" w:type="dxa"/>
                                <w:bottom w:w="85" w:type="dxa"/>
                                <w:right w:w="108" w:type="dxa"/>
                              </w:tblCellMar>
                            </w:tblPr>
                            <w:tblGrid>
                              <w:gridCol w:w="2880"/>
                              <w:gridCol w:w="1410"/>
                            </w:tblGrid>
                            <w:tr w14:paraId="679DC75F">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5CDA497C">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36"/>
                                      <w:szCs w:val="36"/>
                                      <w:lang w:val="en-US" w:eastAsia="zh-CN"/>
                                    </w:rPr>
                                    <w:t>湖北省标准化学会</w:t>
                                  </w:r>
                                </w:p>
                              </w:tc>
                              <w:tc>
                                <w:tcPr>
                                  <w:tcW w:w="0" w:type="auto"/>
                                  <w:tcBorders>
                                    <w:tl2br w:val="nil"/>
                                    <w:tr2bl w:val="nil"/>
                                  </w:tcBorders>
                                  <w:tcMar>
                                    <w:top w:w="85" w:type="dxa"/>
                                    <w:left w:w="510" w:type="dxa"/>
                                    <w:bottom w:w="85" w:type="dxa"/>
                                    <w:right w:w="0" w:type="dxa"/>
                                  </w:tcMar>
                                  <w:vAlign w:val="center"/>
                                </w:tcPr>
                                <w:p w14:paraId="4A1BA259">
                                  <w:pPr>
                                    <w:spacing w:line="240" w:lineRule="auto"/>
                                    <w:jc w:val="center"/>
                                  </w:pPr>
                                  <w:r>
                                    <w:rPr>
                                      <w:rFonts w:hint="eastAsia" w:ascii="黑体" w:hAnsi="黑体" w:eastAsia="黑体" w:cs="黑体"/>
                                      <w:b w:val="0"/>
                                      <w:bCs w:val="0"/>
                                      <w:spacing w:val="85"/>
                                      <w:sz w:val="28"/>
                                      <w:szCs w:val="28"/>
                                      <w:lang w:val="en-US" w:eastAsia="zh-CN"/>
                                    </w:rPr>
                                    <w:t>发布</w:t>
                                  </w:r>
                                </w:p>
                              </w:tc>
                            </w:tr>
                          </w:tbl>
                          <w:p w14:paraId="29763588"/>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725.75pt;height:66.3pt;width:482.6pt;z-index:251666432;v-text-anchor:middle;mso-width-relative:page;mso-height-relative:page;" filled="f" stroked="f" coordsize="21600,21600" o:gfxdata="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j+PcAAAA&#10;CgEAAA8AAAAAAAAAAQAgAAAAIgAAAGRycy9kb3ducmV2LnhtbFBLAQIUABQAAAAIAIdO4kD1IdCO&#10;UgIAAIAEAAAOAAAAAAAAAAEAIAAAACsBAABkcnMvZTJvRG9jLnhtbFBLBQYAAAAABgAGAFkBAADv&#10;BQAAAAA=&#10;">
                <v:fill on="f" focussize="0,0"/>
                <v:stroke on="f" weight="0.5pt"/>
                <v:imagedata o:title=""/>
                <o:lock v:ext="edit" aspectratio="f"/>
                <v:textbox inset="1mm,0mm,1mm,0mm">
                  <w:txbxContent>
                    <w:tbl>
                      <w:tblPr>
                        <w:tblStyle w:val="17"/>
                        <w:tblW w:w="0" w:type="auto"/>
                        <w:jc w:val="center"/>
                        <w:tblLayout w:type="autofit"/>
                        <w:tblCellMar>
                          <w:top w:w="85" w:type="dxa"/>
                          <w:left w:w="0" w:type="dxa"/>
                          <w:bottom w:w="85" w:type="dxa"/>
                          <w:right w:w="108" w:type="dxa"/>
                        </w:tblCellMar>
                      </w:tblPr>
                      <w:tblGrid>
                        <w:gridCol w:w="2880"/>
                        <w:gridCol w:w="1410"/>
                      </w:tblGrid>
                      <w:tr w14:paraId="679DC75F">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5CDA497C">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36"/>
                                <w:szCs w:val="36"/>
                                <w:lang w:val="en-US" w:eastAsia="zh-CN"/>
                              </w:rPr>
                              <w:t>湖北省标准化学会</w:t>
                            </w:r>
                          </w:p>
                        </w:tc>
                        <w:tc>
                          <w:tcPr>
                            <w:tcW w:w="0" w:type="auto"/>
                            <w:tcBorders>
                              <w:tl2br w:val="nil"/>
                              <w:tr2bl w:val="nil"/>
                            </w:tcBorders>
                            <w:tcMar>
                              <w:top w:w="85" w:type="dxa"/>
                              <w:left w:w="510" w:type="dxa"/>
                              <w:bottom w:w="85" w:type="dxa"/>
                              <w:right w:w="0" w:type="dxa"/>
                            </w:tcMar>
                            <w:vAlign w:val="center"/>
                          </w:tcPr>
                          <w:p w14:paraId="4A1BA259">
                            <w:pPr>
                              <w:spacing w:line="240" w:lineRule="auto"/>
                              <w:jc w:val="center"/>
                            </w:pPr>
                            <w:r>
                              <w:rPr>
                                <w:rFonts w:hint="eastAsia" w:ascii="黑体" w:hAnsi="黑体" w:eastAsia="黑体" w:cs="黑体"/>
                                <w:b w:val="0"/>
                                <w:bCs w:val="0"/>
                                <w:spacing w:val="85"/>
                                <w:sz w:val="28"/>
                                <w:szCs w:val="28"/>
                                <w:lang w:val="en-US" w:eastAsia="zh-CN"/>
                              </w:rPr>
                              <w:t>发布</w:t>
                            </w:r>
                          </w:p>
                        </w:tc>
                      </w:tr>
                    </w:tbl>
                    <w:p w14:paraId="29763588"/>
                  </w:txbxContent>
                </v:textbox>
              </v:shape>
            </w:pict>
          </mc:Fallback>
        </mc:AlternateContent>
      </w:r>
    </w:p>
    <w:p w14:paraId="3914F1A5">
      <w:pPr>
        <w:sectPr>
          <w:headerReference r:id="rId3" w:type="even"/>
          <w:pgSz w:w="11906" w:h="16838"/>
          <w:pgMar w:top="567" w:right="850" w:bottom="1111" w:left="1417" w:header="850" w:footer="850" w:gutter="0"/>
          <w:pgNumType w:fmt="upperRoman"/>
          <w:cols w:space="425" w:num="1"/>
          <w:docGrid w:type="lines" w:linePitch="312" w:charSpace="0"/>
        </w:sectPr>
      </w:pPr>
    </w:p>
    <w:p w14:paraId="5A6EB03B">
      <w:pPr>
        <w:pStyle w:val="37"/>
      </w:pPr>
      <w:r>
        <w:rPr>
          <w:rFonts w:hint="eastAsia" w:ascii="黑体" w:hAnsi="黑体" w:eastAsia="黑体" w:cs="黑体"/>
        </w:rPr>
        <w:t>目</w:t>
      </w:r>
      <w:r>
        <w:rPr>
          <w:rFonts w:hint="eastAsia" w:ascii="MS Mincho" w:hAnsi="MS Mincho" w:eastAsia="MS Mincho" w:cs="MS Mincho"/>
        </w:rPr>
        <w:t>  </w:t>
      </w:r>
      <w:r>
        <w:rPr>
          <w:rFonts w:hint="eastAsia" w:ascii="黑体" w:hAnsi="黑体" w:eastAsia="黑体" w:cs="黑体"/>
        </w:rPr>
        <w:t>次</w:t>
      </w:r>
    </w:p>
    <w:p w14:paraId="1DB39E37">
      <w:pPr>
        <w:pStyle w:val="12"/>
        <w:tabs>
          <w:tab w:val="right" w:leader="dot" w:pos="9355"/>
          <w:tab w:val="clear" w:pos="9241"/>
        </w:tabs>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"1-3" \h \z \u \* MERGEFORMAT</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_Toc5017 </w:instrText>
      </w:r>
      <w:r>
        <w:rPr>
          <w:rFonts w:hint="eastAsia" w:ascii="宋体" w:hAnsi="宋体" w:eastAsia="宋体" w:cs="宋体"/>
          <w:szCs w:val="21"/>
        </w:rPr>
        <w:fldChar w:fldCharType="separate"/>
      </w:r>
      <w:r>
        <w:rPr>
          <w:rFonts w:hint="eastAsia" w:ascii="宋体" w:hAnsi="宋体" w:eastAsia="宋体" w:cs="宋体"/>
          <w:szCs w:val="32"/>
          <w:lang w:val="en-US" w:eastAsia="zh-CN"/>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_Toc5017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szCs w:val="21"/>
        </w:rPr>
        <w:fldChar w:fldCharType="end"/>
      </w:r>
    </w:p>
    <w:p w14:paraId="68A160A6">
      <w:pPr>
        <w:pStyle w:val="12"/>
        <w:tabs>
          <w:tab w:val="right" w:leader="dot" w:pos="9355"/>
          <w:tab w:val="clear" w:pos="9241"/>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_Toc2921 </w:instrText>
      </w:r>
      <w:r>
        <w:rPr>
          <w:rFonts w:hint="eastAsia" w:ascii="宋体" w:hAnsi="宋体" w:eastAsia="宋体" w:cs="宋体"/>
          <w:szCs w:val="24"/>
        </w:rPr>
        <w:fldChar w:fldCharType="separate"/>
      </w:r>
      <w:r>
        <w:rPr>
          <w:rFonts w:hint="eastAsia" w:ascii="宋体" w:hAnsi="宋体" w:eastAsia="宋体" w:cs="宋体"/>
          <w:snapToGrid w:val="0"/>
          <w:szCs w:val="21"/>
        </w:rPr>
        <w:t xml:space="preserve">1 </w:t>
      </w:r>
      <w:r>
        <w:rPr>
          <w:rFonts w:hint="eastAsia" w:ascii="宋体" w:hAnsi="宋体" w:eastAsia="宋体" w:cs="宋体"/>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4"/>
        </w:rPr>
        <w:fldChar w:fldCharType="end"/>
      </w:r>
    </w:p>
    <w:p w14:paraId="485030EE">
      <w:pPr>
        <w:pStyle w:val="12"/>
        <w:tabs>
          <w:tab w:val="right" w:leader="dot" w:pos="9355"/>
          <w:tab w:val="clear" w:pos="9241"/>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_Toc9120 </w:instrText>
      </w:r>
      <w:r>
        <w:rPr>
          <w:rFonts w:hint="eastAsia" w:ascii="宋体" w:hAnsi="宋体" w:eastAsia="宋体" w:cs="宋体"/>
          <w:szCs w:val="24"/>
        </w:rPr>
        <w:fldChar w:fldCharType="separate"/>
      </w:r>
      <w:r>
        <w:rPr>
          <w:rFonts w:hint="eastAsia" w:ascii="宋体" w:hAnsi="宋体" w:eastAsia="宋体" w:cs="宋体"/>
          <w:snapToGrid w:val="0"/>
          <w:szCs w:val="21"/>
        </w:rPr>
        <w:t xml:space="preserve">2 </w:t>
      </w:r>
      <w:r>
        <w:rPr>
          <w:rFonts w:hint="eastAsia" w:ascii="宋体" w:hAnsi="宋体" w:eastAsia="宋体" w:cs="宋体"/>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_Toc9120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4"/>
        </w:rPr>
        <w:fldChar w:fldCharType="end"/>
      </w:r>
    </w:p>
    <w:p w14:paraId="4B5AB358">
      <w:pPr>
        <w:pStyle w:val="12"/>
        <w:tabs>
          <w:tab w:val="right" w:leader="dot" w:pos="9355"/>
          <w:tab w:val="clear" w:pos="9241"/>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_Toc8311 </w:instrText>
      </w:r>
      <w:r>
        <w:rPr>
          <w:rFonts w:hint="eastAsia" w:ascii="宋体" w:hAnsi="宋体" w:eastAsia="宋体" w:cs="宋体"/>
          <w:szCs w:val="24"/>
        </w:rPr>
        <w:fldChar w:fldCharType="separate"/>
      </w:r>
      <w:r>
        <w:rPr>
          <w:rFonts w:hint="eastAsia" w:ascii="宋体" w:hAnsi="宋体" w:eastAsia="宋体" w:cs="宋体"/>
          <w:snapToGrid w:val="0"/>
          <w:szCs w:val="21"/>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_Toc8311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4"/>
        </w:rPr>
        <w:fldChar w:fldCharType="end"/>
      </w:r>
    </w:p>
    <w:p w14:paraId="45C5DDAB">
      <w:pPr>
        <w:pStyle w:val="12"/>
        <w:tabs>
          <w:tab w:val="right" w:leader="dot" w:pos="9355"/>
          <w:tab w:val="clear" w:pos="9241"/>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_Toc21862 </w:instrText>
      </w:r>
      <w:r>
        <w:rPr>
          <w:rFonts w:hint="eastAsia" w:ascii="宋体" w:hAnsi="宋体" w:eastAsia="宋体" w:cs="宋体"/>
          <w:szCs w:val="24"/>
        </w:rPr>
        <w:fldChar w:fldCharType="separate"/>
      </w:r>
      <w:r>
        <w:rPr>
          <w:rFonts w:hint="eastAsia" w:ascii="宋体" w:hAnsi="宋体" w:eastAsia="宋体" w:cs="宋体"/>
          <w:snapToGrid w:val="0"/>
          <w:szCs w:val="21"/>
        </w:rPr>
        <w:t xml:space="preserve">4 </w:t>
      </w:r>
      <w:r>
        <w:rPr>
          <w:rFonts w:hint="eastAsia" w:ascii="宋体" w:hAnsi="宋体" w:eastAsia="宋体" w:cs="宋体"/>
          <w:szCs w:val="21"/>
        </w:rPr>
        <w:t>建设基本原则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_Toc21862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24"/>
        </w:rPr>
        <w:fldChar w:fldCharType="end"/>
      </w:r>
    </w:p>
    <w:p w14:paraId="76767899">
      <w:pPr>
        <w:pStyle w:val="12"/>
        <w:tabs>
          <w:tab w:val="right" w:leader="dot" w:pos="9355"/>
          <w:tab w:val="clear" w:pos="9241"/>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_Toc13503 </w:instrText>
      </w:r>
      <w:r>
        <w:rPr>
          <w:rFonts w:hint="eastAsia" w:ascii="宋体" w:hAnsi="宋体" w:eastAsia="宋体" w:cs="宋体"/>
          <w:szCs w:val="24"/>
        </w:rPr>
        <w:fldChar w:fldCharType="separate"/>
      </w:r>
      <w:r>
        <w:rPr>
          <w:rFonts w:hint="eastAsia" w:ascii="宋体" w:hAnsi="宋体" w:eastAsia="宋体" w:cs="宋体"/>
          <w:snapToGrid w:val="0"/>
          <w:szCs w:val="21"/>
        </w:rPr>
        <w:t xml:space="preserve">5 </w:t>
      </w:r>
      <w:r>
        <w:rPr>
          <w:rFonts w:hint="eastAsia" w:ascii="宋体" w:hAnsi="宋体" w:eastAsia="宋体" w:cs="宋体"/>
          <w:szCs w:val="21"/>
          <w:lang w:eastAsia="zh-CN"/>
        </w:rPr>
        <w:t>总体</w:t>
      </w:r>
      <w:r>
        <w:rPr>
          <w:rFonts w:hint="eastAsia" w:ascii="宋体" w:hAnsi="宋体" w:eastAsia="宋体" w:cs="宋体"/>
          <w:szCs w:val="21"/>
        </w:rPr>
        <w:t>规划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_Toc13503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24"/>
        </w:rPr>
        <w:fldChar w:fldCharType="end"/>
      </w:r>
    </w:p>
    <w:p w14:paraId="22842F10">
      <w:pPr>
        <w:pStyle w:val="12"/>
        <w:tabs>
          <w:tab w:val="right" w:leader="dot" w:pos="9355"/>
          <w:tab w:val="clear" w:pos="9241"/>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_Toc14811 </w:instrText>
      </w:r>
      <w:r>
        <w:rPr>
          <w:rFonts w:hint="eastAsia" w:ascii="宋体" w:hAnsi="宋体" w:eastAsia="宋体" w:cs="宋体"/>
          <w:szCs w:val="24"/>
        </w:rPr>
        <w:fldChar w:fldCharType="separate"/>
      </w:r>
      <w:r>
        <w:rPr>
          <w:rFonts w:hint="eastAsia" w:ascii="宋体" w:hAnsi="宋体" w:eastAsia="宋体" w:cs="宋体"/>
          <w:snapToGrid w:val="0"/>
          <w:szCs w:val="21"/>
        </w:rPr>
        <w:t xml:space="preserve">6 </w:t>
      </w:r>
      <w:r>
        <w:rPr>
          <w:rFonts w:hint="eastAsia" w:ascii="宋体" w:hAnsi="宋体" w:eastAsia="宋体" w:cs="宋体"/>
          <w:szCs w:val="21"/>
        </w:rPr>
        <w:t>设施</w:t>
      </w:r>
      <w:r>
        <w:rPr>
          <w:rFonts w:hint="eastAsia" w:ascii="宋体" w:hAnsi="宋体" w:eastAsia="宋体" w:cs="宋体"/>
          <w:szCs w:val="21"/>
          <w:lang w:eastAsia="zh-CN"/>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_Toc14811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24"/>
        </w:rPr>
        <w:fldChar w:fldCharType="end"/>
      </w:r>
    </w:p>
    <w:p w14:paraId="17DE4AAE">
      <w:pPr>
        <w:pStyle w:val="12"/>
        <w:tabs>
          <w:tab w:val="right" w:leader="dot" w:pos="9355"/>
          <w:tab w:val="clear" w:pos="9241"/>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_Toc8630 </w:instrText>
      </w:r>
      <w:r>
        <w:rPr>
          <w:rFonts w:hint="eastAsia" w:ascii="宋体" w:hAnsi="宋体" w:eastAsia="宋体" w:cs="宋体"/>
          <w:szCs w:val="24"/>
        </w:rPr>
        <w:fldChar w:fldCharType="separate"/>
      </w:r>
      <w:r>
        <w:rPr>
          <w:rFonts w:hint="eastAsia" w:ascii="宋体" w:hAnsi="宋体" w:eastAsia="宋体" w:cs="宋体"/>
          <w:snapToGrid w:val="0"/>
          <w:szCs w:val="21"/>
        </w:rPr>
        <w:t xml:space="preserve">7 </w:t>
      </w:r>
      <w:r>
        <w:rPr>
          <w:rFonts w:hint="eastAsia" w:ascii="宋体" w:hAnsi="宋体" w:eastAsia="宋体" w:cs="宋体"/>
          <w:szCs w:val="21"/>
        </w:rPr>
        <w:t>信息化与智慧化建设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_Toc8630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24"/>
        </w:rPr>
        <w:fldChar w:fldCharType="end"/>
      </w:r>
    </w:p>
    <w:p w14:paraId="7200C1C9">
      <w:pPr>
        <w:pStyle w:val="12"/>
        <w:tabs>
          <w:tab w:val="right" w:leader="dot" w:pos="9355"/>
          <w:tab w:val="clear" w:pos="9241"/>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_Toc12990 </w:instrText>
      </w:r>
      <w:r>
        <w:rPr>
          <w:rFonts w:hint="eastAsia" w:ascii="宋体" w:hAnsi="宋体" w:eastAsia="宋体" w:cs="宋体"/>
          <w:szCs w:val="24"/>
        </w:rPr>
        <w:fldChar w:fldCharType="separate"/>
      </w:r>
      <w:r>
        <w:rPr>
          <w:rFonts w:hint="eastAsia" w:ascii="宋体" w:hAnsi="宋体" w:eastAsia="宋体" w:cs="宋体"/>
          <w:snapToGrid w:val="0"/>
          <w:szCs w:val="21"/>
        </w:rPr>
        <w:t xml:space="preserve">8 </w:t>
      </w:r>
      <w:r>
        <w:rPr>
          <w:rFonts w:hint="eastAsia" w:ascii="宋体" w:hAnsi="宋体" w:eastAsia="宋体" w:cs="宋体"/>
          <w:strike w:val="0"/>
          <w:dstrike w:val="0"/>
          <w:szCs w:val="21"/>
          <w:lang w:eastAsia="zh-CN"/>
        </w:rPr>
        <w:t>安全与环保</w:t>
      </w:r>
      <w:r>
        <w:rPr>
          <w:rFonts w:hint="eastAsia" w:ascii="宋体" w:hAnsi="宋体" w:eastAsia="宋体" w:cs="宋体"/>
          <w:szCs w:val="21"/>
          <w:lang w:eastAsia="zh-CN"/>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_Toc12990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zCs w:val="24"/>
        </w:rPr>
        <w:fldChar w:fldCharType="end"/>
      </w:r>
    </w:p>
    <w:p w14:paraId="1D443345">
      <w:pPr>
        <w:pStyle w:val="12"/>
        <w:tabs>
          <w:tab w:val="right" w:leader="dot" w:pos="9355"/>
          <w:tab w:val="clear" w:pos="9241"/>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_Toc18065 </w:instrText>
      </w:r>
      <w:r>
        <w:rPr>
          <w:rFonts w:hint="eastAsia" w:ascii="宋体" w:hAnsi="宋体" w:eastAsia="宋体" w:cs="宋体"/>
          <w:szCs w:val="24"/>
        </w:rPr>
        <w:fldChar w:fldCharType="separate"/>
      </w:r>
      <w:r>
        <w:rPr>
          <w:rFonts w:hint="eastAsia" w:ascii="宋体" w:hAnsi="宋体" w:eastAsia="宋体" w:cs="宋体"/>
          <w:szCs w:val="24"/>
          <w:lang w:eastAsia="zh-CN"/>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_Toc18065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24"/>
        </w:rPr>
        <w:fldChar w:fldCharType="end"/>
      </w:r>
    </w:p>
    <w:p w14:paraId="281FBA5E">
      <w:pPr>
        <w:spacing w:line="270" w:lineRule="auto"/>
        <w:ind w:leftChars="0"/>
        <w:sectPr>
          <w:headerReference r:id="rId4" w:type="default"/>
          <w:footerReference r:id="rId5" w:type="default"/>
          <w:footerReference r:id="rId6" w:type="even"/>
          <w:pgSz w:w="11906" w:h="16838"/>
          <w:pgMar w:top="1134" w:right="1134" w:bottom="1134" w:left="1417" w:header="850" w:footer="680" w:gutter="0"/>
          <w:pgNumType w:fmt="upperRoman" w:start="1"/>
          <w:cols w:space="425" w:num="1"/>
          <w:docGrid w:type="lines" w:linePitch="312" w:charSpace="0"/>
        </w:sectPr>
      </w:pPr>
      <w:r>
        <w:rPr>
          <w:rFonts w:hint="eastAsia" w:ascii="宋体" w:hAnsi="宋体" w:eastAsia="宋体" w:cs="宋体"/>
          <w:szCs w:val="24"/>
        </w:rPr>
        <w:fldChar w:fldCharType="end"/>
      </w:r>
    </w:p>
    <w:p w14:paraId="306A7D6A">
      <w:pPr>
        <w:pStyle w:val="50"/>
        <w:widowControl w:val="0"/>
        <w:rPr>
          <w:lang w:val="en-US" w:eastAsia="zh-CN"/>
        </w:rPr>
      </w:pPr>
      <w:bookmarkStart w:id="0" w:name="_Toc5017"/>
      <w:r>
        <w:rPr>
          <w:rFonts w:hint="eastAsia" w:ascii="黑体" w:hAnsi="黑体" w:eastAsia="黑体" w:cs="黑体"/>
          <w:sz w:val="32"/>
          <w:szCs w:val="32"/>
          <w:lang w:val="en-US" w:eastAsia="zh-CN"/>
        </w:rPr>
        <w:t>前</w:t>
      </w:r>
      <w:r>
        <w:rPr>
          <w:rFonts w:hint="eastAsia" w:ascii="MS Mincho" w:hAnsi="MS Mincho" w:eastAsia="MS Mincho" w:cs="MS Mincho"/>
        </w:rPr>
        <w:t>  </w:t>
      </w:r>
      <w:r>
        <w:rPr>
          <w:rFonts w:hint="eastAsia" w:ascii="黑体" w:hAnsi="黑体" w:eastAsia="黑体" w:cs="黑体"/>
          <w:sz w:val="32"/>
          <w:szCs w:val="32"/>
          <w:lang w:val="en-US" w:eastAsia="zh-CN"/>
        </w:rPr>
        <w:t>言</w:t>
      </w:r>
      <w:bookmarkEnd w:id="0"/>
    </w:p>
    <w:p w14:paraId="54B8D50F">
      <w:pPr>
        <w:pStyle w:val="53"/>
        <w:widowControl w:val="0"/>
        <w:wordWrap w:val="0"/>
        <w:autoSpaceDE w:val="0"/>
        <w:autoSpaceDN w:val="0"/>
        <w:snapToGrid/>
        <w:ind w:leftChars="0" w:firstLine="411"/>
        <w:jc w:val="both"/>
        <w:rPr>
          <w:color w:val="auto"/>
        </w:rPr>
      </w:pPr>
      <w:r>
        <w:rPr>
          <w:rFonts w:hint="eastAsia" w:ascii="宋体" w:hAnsi="宋体" w:eastAsia="宋体" w:cs="宋体"/>
          <w:sz w:val="21"/>
          <w:szCs w:val="21"/>
        </w:rPr>
        <w:t>本文件按照GB/T 1.1—2020《标准化工作导则 第1部分：标准化文件的结构和起草规则》的规定起草。</w:t>
      </w:r>
    </w:p>
    <w:p w14:paraId="1BEAFCCC">
      <w:pPr>
        <w:pStyle w:val="53"/>
        <w:widowControl w:val="0"/>
        <w:wordWrap w:val="0"/>
        <w:autoSpaceDE w:val="0"/>
        <w:autoSpaceDN w:val="0"/>
        <w:snapToGrid/>
        <w:ind w:leftChars="0" w:firstLine="411"/>
        <w:jc w:val="both"/>
        <w:rPr>
          <w:color w:val="auto"/>
        </w:rPr>
      </w:pPr>
      <w:r>
        <w:rPr>
          <w:rFonts w:hint="eastAsia" w:ascii="宋体" w:hAnsi="宋体" w:eastAsia="宋体" w:cs="宋体"/>
          <w:color w:val="auto"/>
          <w:sz w:val="21"/>
          <w:szCs w:val="21"/>
        </w:rPr>
        <w:t>请注意本文件的某些内容可能涉及专利。本文件的发布机构不承担识别专利的责任。</w:t>
      </w:r>
    </w:p>
    <w:p w14:paraId="32B99ABA">
      <w:pPr>
        <w:pStyle w:val="53"/>
        <w:widowControl w:val="0"/>
        <w:wordWrap w:val="0"/>
        <w:autoSpaceDE w:val="0"/>
        <w:autoSpaceDN w:val="0"/>
        <w:snapToGrid/>
        <w:ind w:leftChars="0" w:firstLine="411"/>
        <w:jc w:val="both"/>
        <w:rPr>
          <w:color w:val="auto"/>
          <w:highlight w:val="none"/>
        </w:rPr>
      </w:pPr>
      <w:r>
        <w:rPr>
          <w:rFonts w:hint="eastAsia" w:ascii="宋体" w:hAnsi="宋体" w:eastAsia="宋体" w:cs="宋体"/>
          <w:color w:val="auto"/>
          <w:sz w:val="21"/>
          <w:szCs w:val="21"/>
        </w:rPr>
        <w:t>本文件由通城县市场监督管理局</w:t>
      </w:r>
      <w:r>
        <w:rPr>
          <w:rFonts w:hint="eastAsia" w:ascii="宋体" w:hAnsi="宋体" w:eastAsia="宋体" w:cs="宋体"/>
          <w:color w:val="auto"/>
          <w:sz w:val="21"/>
          <w:szCs w:val="21"/>
          <w:highlight w:val="none"/>
        </w:rPr>
        <w:t>提出。</w:t>
      </w:r>
    </w:p>
    <w:p w14:paraId="461A567F">
      <w:pPr>
        <w:pStyle w:val="53"/>
        <w:widowControl w:val="0"/>
        <w:wordWrap w:val="0"/>
        <w:autoSpaceDE w:val="0"/>
        <w:autoSpaceDN w:val="0"/>
        <w:snapToGrid/>
        <w:ind w:leftChars="0" w:firstLine="411"/>
        <w:jc w:val="both"/>
        <w:rPr>
          <w:color w:val="auto"/>
          <w:highlight w:val="none"/>
        </w:rPr>
      </w:pPr>
      <w:r>
        <w:rPr>
          <w:rFonts w:hint="eastAsia" w:ascii="宋体" w:hAnsi="宋体" w:eastAsia="宋体" w:cs="宋体"/>
          <w:color w:val="auto"/>
          <w:sz w:val="21"/>
          <w:szCs w:val="21"/>
          <w:highlight w:val="none"/>
        </w:rPr>
        <w:t>本文件由湖北省标准化学会归口 。</w:t>
      </w:r>
    </w:p>
    <w:p w14:paraId="6D19BBAB">
      <w:pPr>
        <w:pStyle w:val="53"/>
        <w:widowControl w:val="0"/>
        <w:wordWrap w:val="0"/>
        <w:autoSpaceDE w:val="0"/>
        <w:autoSpaceDN w:val="0"/>
        <w:snapToGrid/>
        <w:ind w:leftChars="0" w:firstLine="411"/>
        <w:jc w:val="both"/>
        <w:rPr>
          <w:color w:val="auto"/>
          <w:highlight w:val="none"/>
        </w:rPr>
      </w:pPr>
      <w:r>
        <w:rPr>
          <w:rFonts w:hint="eastAsia" w:ascii="宋体" w:hAnsi="宋体" w:eastAsia="宋体" w:cs="宋体"/>
          <w:color w:val="auto"/>
          <w:sz w:val="21"/>
          <w:szCs w:val="21"/>
          <w:highlight w:val="none"/>
        </w:rPr>
        <w:t>本文件起草单位：通城县市场监督管理局、通城隽城资产运营管理有限公司</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通城县交通运输局</w:t>
      </w:r>
      <w:r>
        <w:rPr>
          <w:rFonts w:hint="eastAsia" w:hAnsi="宋体" w:cs="宋体"/>
          <w:color w:val="auto"/>
          <w:sz w:val="21"/>
          <w:szCs w:val="21"/>
          <w:highlight w:val="none"/>
          <w:lang w:eastAsia="zh-CN"/>
        </w:rPr>
        <w:t>、江苏百盟供应链管理有限公司、</w:t>
      </w:r>
      <w:r>
        <w:rPr>
          <w:rFonts w:hint="eastAsia" w:ascii="宋体" w:hAnsi="宋体" w:eastAsia="宋体" w:cs="宋体"/>
          <w:color w:val="auto"/>
          <w:sz w:val="21"/>
          <w:szCs w:val="21"/>
          <w:highlight w:val="none"/>
        </w:rPr>
        <w:t>湖北省标准化与质量研究院。</w:t>
      </w:r>
    </w:p>
    <w:p w14:paraId="55B3EDC2">
      <w:pPr>
        <w:pStyle w:val="53"/>
        <w:widowControl w:val="0"/>
        <w:wordWrap w:val="0"/>
        <w:autoSpaceDE w:val="0"/>
        <w:autoSpaceDN w:val="0"/>
        <w:snapToGrid/>
        <w:ind w:leftChars="0" w:firstLine="411"/>
        <w:jc w:val="both"/>
        <w:rPr>
          <w:color w:val="auto"/>
          <w:highlight w:val="none"/>
        </w:rPr>
      </w:pPr>
      <w:r>
        <w:rPr>
          <w:rFonts w:hint="eastAsia" w:ascii="宋体" w:hAnsi="宋体" w:eastAsia="宋体" w:cs="宋体"/>
          <w:color w:val="auto"/>
          <w:sz w:val="21"/>
          <w:szCs w:val="21"/>
          <w:highlight w:val="none"/>
        </w:rPr>
        <w:t>本文件主要起草人</w:t>
      </w:r>
      <w:r>
        <w:rPr>
          <w:rFonts w:hint="eastAsia" w:hAnsi="宋体" w:cs="宋体"/>
          <w:color w:val="auto"/>
          <w:sz w:val="21"/>
          <w:szCs w:val="21"/>
          <w:highlight w:val="none"/>
          <w:lang w:eastAsia="zh-CN"/>
        </w:rPr>
        <w:t>：李苗、胡望丁、</w:t>
      </w:r>
      <w:r>
        <w:rPr>
          <w:rFonts w:hint="eastAsia" w:ascii="宋体" w:hAnsi="宋体" w:eastAsia="宋体" w:cs="宋体"/>
          <w:color w:val="auto"/>
          <w:sz w:val="21"/>
          <w:szCs w:val="21"/>
          <w:highlight w:val="none"/>
        </w:rPr>
        <w:t>吴伟</w:t>
      </w:r>
      <w:r>
        <w:rPr>
          <w:rFonts w:hint="eastAsia" w:hAnsi="宋体" w:cs="宋体"/>
          <w:color w:val="auto"/>
          <w:sz w:val="21"/>
          <w:szCs w:val="21"/>
          <w:highlight w:val="none"/>
          <w:lang w:eastAsia="zh-CN"/>
        </w:rPr>
        <w:t>、王玲燕、吴宇卿、</w:t>
      </w:r>
      <w:r>
        <w:rPr>
          <w:rFonts w:hint="eastAsia" w:hAnsi="宋体" w:cs="宋体"/>
          <w:color w:val="auto"/>
          <w:sz w:val="21"/>
          <w:szCs w:val="21"/>
          <w:highlight w:val="none"/>
          <w:lang w:val="en-US" w:eastAsia="zh-CN"/>
        </w:rPr>
        <w:t>刘国富</w:t>
      </w:r>
      <w:r>
        <w:rPr>
          <w:rFonts w:hint="eastAsia" w:ascii="宋体" w:hAnsi="宋体" w:eastAsia="宋体" w:cs="宋体"/>
          <w:color w:val="auto"/>
          <w:sz w:val="21"/>
          <w:szCs w:val="21"/>
          <w:highlight w:val="none"/>
        </w:rPr>
        <w:t>、胡雄斌</w:t>
      </w:r>
      <w:r>
        <w:rPr>
          <w:rFonts w:hint="eastAsia" w:hAnsi="宋体" w:cs="宋体"/>
          <w:color w:val="auto"/>
          <w:sz w:val="21"/>
          <w:szCs w:val="21"/>
          <w:highlight w:val="none"/>
          <w:lang w:eastAsia="zh-CN"/>
        </w:rPr>
        <w:t>、王长城、</w:t>
      </w:r>
      <w:r>
        <w:rPr>
          <w:rFonts w:hint="eastAsia" w:ascii="宋体" w:hAnsi="宋体" w:eastAsia="宋体" w:cs="宋体"/>
          <w:color w:val="auto"/>
          <w:sz w:val="21"/>
          <w:szCs w:val="21"/>
          <w:highlight w:val="none"/>
        </w:rPr>
        <w:t>李响、王晶</w:t>
      </w:r>
      <w:r>
        <w:rPr>
          <w:rFonts w:hint="eastAsia" w:hAnsi="宋体" w:cs="宋体"/>
          <w:color w:val="auto"/>
          <w:sz w:val="21"/>
          <w:szCs w:val="21"/>
          <w:highlight w:val="none"/>
          <w:lang w:eastAsia="zh-CN"/>
        </w:rPr>
        <w:t>、夏鸿轶</w:t>
      </w:r>
      <w:r>
        <w:rPr>
          <w:rFonts w:hint="eastAsia" w:ascii="宋体" w:hAnsi="宋体" w:eastAsia="宋体" w:cs="宋体"/>
          <w:color w:val="auto"/>
          <w:sz w:val="21"/>
          <w:szCs w:val="21"/>
          <w:highlight w:val="none"/>
        </w:rPr>
        <w:t>。</w:t>
      </w:r>
    </w:p>
    <w:p w14:paraId="695FB21F">
      <w:pPr>
        <w:pStyle w:val="53"/>
        <w:widowControl w:val="0"/>
        <w:wordWrap w:val="0"/>
        <w:autoSpaceDE w:val="0"/>
        <w:autoSpaceDN w:val="0"/>
        <w:snapToGrid/>
        <w:ind w:leftChars="0" w:firstLine="411"/>
        <w:jc w:val="both"/>
        <w:rPr>
          <w:highlight w:val="none"/>
        </w:rPr>
      </w:pPr>
      <w:r>
        <w:rPr>
          <w:rFonts w:hint="eastAsia" w:ascii="宋体" w:hAnsi="宋体" w:eastAsia="宋体" w:cs="宋体"/>
          <w:sz w:val="21"/>
          <w:szCs w:val="21"/>
          <w:highlight w:val="none"/>
        </w:rPr>
        <w:t>本文件实施应用中的疑问，可咨询通城隽城资产运营管理有限公司，联系电话：17720316301，邮箱：</w:t>
      </w:r>
      <w:r>
        <w:rPr>
          <w:rFonts w:hint="eastAsia" w:hAnsi="宋体" w:cs="宋体"/>
          <w:sz w:val="21"/>
          <w:szCs w:val="21"/>
          <w:highlight w:val="none"/>
          <w:lang w:val="en-US" w:eastAsia="zh-CN"/>
        </w:rPr>
        <w:t>xxxxx</w:t>
      </w:r>
      <w:r>
        <w:rPr>
          <w:rFonts w:hint="eastAsia" w:ascii="宋体" w:hAnsi="宋体" w:eastAsia="宋体" w:cs="宋体"/>
          <w:sz w:val="21"/>
          <w:szCs w:val="21"/>
          <w:highlight w:val="none"/>
        </w:rPr>
        <w:t>；对本文件的有关修改意见建议请反馈至湖北省标准化与质量研究院，联系电话：027-88075773，邮箱：hubs_tc29@163.com。</w:t>
      </w:r>
    </w:p>
    <w:p w14:paraId="75402DFC">
      <w:pPr>
        <w:rPr>
          <w:rFonts w:hint="eastAsia"/>
          <w:highlight w:val="none"/>
          <w:lang w:val="en-US" w:eastAsia="zh-CN"/>
        </w:rPr>
        <w:sectPr>
          <w:headerReference r:id="rId7" w:type="default"/>
          <w:footerReference r:id="rId8" w:type="default"/>
          <w:footerReference r:id="rId9" w:type="even"/>
          <w:pgSz w:w="11906" w:h="16838"/>
          <w:pgMar w:top="1417" w:right="1134" w:bottom="1134" w:left="1417" w:header="850" w:footer="680" w:gutter="0"/>
          <w:pgNumType w:fmt="upperRoman"/>
          <w:cols w:space="425" w:num="1"/>
          <w:docGrid w:type="lines" w:linePitch="312" w:charSpace="0"/>
        </w:sectPr>
      </w:pPr>
    </w:p>
    <w:p w14:paraId="3C08C9DD">
      <w:pPr>
        <w:pStyle w:val="49"/>
        <w:widowControl w:val="0"/>
        <w:rPr>
          <w:color w:val="auto"/>
          <w:lang w:val="en-US" w:eastAsia="zh-CN"/>
        </w:rPr>
      </w:pPr>
      <w:r>
        <w:rPr>
          <w:rFonts w:hint="eastAsia" w:ascii="黑体" w:hAnsi="黑体" w:eastAsia="黑体" w:cs="黑体"/>
          <w:color w:val="auto"/>
          <w:sz w:val="32"/>
          <w:szCs w:val="32"/>
          <w:lang w:val="en-US" w:eastAsia="zh-CN"/>
        </w:rPr>
        <w:t>跨区域</w:t>
      </w:r>
      <w:r>
        <w:rPr>
          <w:rFonts w:hint="eastAsia" w:hAnsi="黑体" w:cs="黑体"/>
          <w:color w:val="auto"/>
          <w:sz w:val="32"/>
          <w:szCs w:val="32"/>
          <w:lang w:val="en-US" w:eastAsia="zh-CN"/>
        </w:rPr>
        <w:t>综合</w:t>
      </w:r>
      <w:r>
        <w:rPr>
          <w:rFonts w:hint="eastAsia" w:ascii="黑体" w:hAnsi="黑体" w:eastAsia="黑体" w:cs="黑体"/>
          <w:color w:val="auto"/>
          <w:sz w:val="32"/>
          <w:szCs w:val="32"/>
          <w:lang w:val="en-US" w:eastAsia="zh-CN"/>
        </w:rPr>
        <w:t>物流园区建设标准</w:t>
      </w:r>
    </w:p>
    <w:p w14:paraId="615EFEE3">
      <w:pPr>
        <w:pStyle w:val="54"/>
        <w:widowControl w:val="0"/>
        <w:numPr>
          <w:ilvl w:val="0"/>
          <w:numId w:val="2"/>
        </w:numPr>
        <w:wordWrap w:val="0"/>
        <w:autoSpaceDE w:val="0"/>
        <w:autoSpaceDN w:val="0"/>
        <w:snapToGrid w:val="0"/>
        <w:jc w:val="both"/>
        <w:outlineLvl w:val="0"/>
        <w:rPr>
          <w:color w:val="auto"/>
        </w:rPr>
      </w:pPr>
      <w:bookmarkStart w:id="1" w:name="_Toc2921"/>
      <w:r>
        <w:rPr>
          <w:rFonts w:hint="eastAsia" w:ascii="黑体" w:hAnsi="黑体" w:eastAsia="黑体" w:cs="黑体"/>
          <w:color w:val="auto"/>
          <w:sz w:val="21"/>
          <w:szCs w:val="21"/>
        </w:rPr>
        <w:t>范围</w:t>
      </w:r>
      <w:bookmarkEnd w:id="1"/>
    </w:p>
    <w:p w14:paraId="6D6F80E0">
      <w:pPr>
        <w:pStyle w:val="53"/>
        <w:widowControl w:val="0"/>
        <w:wordWrap w:val="0"/>
        <w:autoSpaceDE w:val="0"/>
        <w:autoSpaceDN w:val="0"/>
        <w:snapToGrid/>
        <w:ind w:leftChars="0" w:firstLine="411"/>
        <w:jc w:val="both"/>
        <w:rPr>
          <w:color w:val="auto"/>
          <w:highlight w:val="none"/>
        </w:rPr>
      </w:pPr>
      <w:r>
        <w:rPr>
          <w:rFonts w:hint="eastAsia" w:ascii="宋体" w:hAnsi="宋体" w:eastAsia="宋体" w:cs="宋体"/>
          <w:color w:val="auto"/>
          <w:sz w:val="21"/>
          <w:szCs w:val="21"/>
          <w:highlight w:val="none"/>
        </w:rPr>
        <w:t>本文件规定了跨区域</w:t>
      </w:r>
      <w:r>
        <w:rPr>
          <w:rFonts w:hint="eastAsia" w:hAnsi="宋体" w:cs="宋体"/>
          <w:color w:val="auto"/>
          <w:sz w:val="21"/>
          <w:szCs w:val="21"/>
          <w:highlight w:val="none"/>
          <w:lang w:eastAsia="zh-CN"/>
        </w:rPr>
        <w:t>综合</w:t>
      </w:r>
      <w:r>
        <w:rPr>
          <w:rFonts w:hint="eastAsia" w:ascii="宋体" w:hAnsi="宋体" w:eastAsia="宋体" w:cs="宋体"/>
          <w:color w:val="auto"/>
          <w:sz w:val="21"/>
          <w:szCs w:val="21"/>
          <w:highlight w:val="none"/>
        </w:rPr>
        <w:t>物流园区（以下简称“园区”）建设的基本原则、</w:t>
      </w:r>
      <w:r>
        <w:rPr>
          <w:rFonts w:hint="eastAsia" w:hAnsi="宋体" w:cs="宋体"/>
          <w:color w:val="auto"/>
          <w:sz w:val="21"/>
          <w:szCs w:val="21"/>
          <w:highlight w:val="none"/>
          <w:lang w:val="en-US" w:eastAsia="zh-CN"/>
        </w:rPr>
        <w:t>总体规划、设施要求、信息化与智慧化建设、环境保护</w:t>
      </w:r>
      <w:r>
        <w:rPr>
          <w:rFonts w:hint="eastAsia" w:ascii="宋体" w:hAnsi="宋体" w:eastAsia="宋体" w:cs="宋体"/>
          <w:color w:val="auto"/>
          <w:sz w:val="21"/>
          <w:szCs w:val="21"/>
          <w:highlight w:val="none"/>
        </w:rPr>
        <w:t>等方面的要求。</w:t>
      </w:r>
    </w:p>
    <w:p w14:paraId="3DEA6F89">
      <w:pPr>
        <w:pStyle w:val="53"/>
        <w:widowControl w:val="0"/>
        <w:wordWrap w:val="0"/>
        <w:autoSpaceDE w:val="0"/>
        <w:autoSpaceDN w:val="0"/>
        <w:snapToGrid/>
        <w:ind w:leftChars="0" w:firstLine="41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本文件适用于新建、改建或扩建的跨区域</w:t>
      </w:r>
      <w:r>
        <w:rPr>
          <w:rFonts w:hint="eastAsia" w:hAnsi="宋体" w:cs="宋体"/>
          <w:color w:val="auto"/>
          <w:sz w:val="21"/>
          <w:szCs w:val="21"/>
          <w:highlight w:val="none"/>
          <w:lang w:eastAsia="zh-CN"/>
        </w:rPr>
        <w:t>综合</w:t>
      </w:r>
      <w:r>
        <w:rPr>
          <w:rFonts w:hint="eastAsia" w:ascii="宋体" w:hAnsi="宋体" w:eastAsia="宋体" w:cs="宋体"/>
          <w:color w:val="auto"/>
          <w:sz w:val="21"/>
          <w:szCs w:val="21"/>
          <w:highlight w:val="none"/>
        </w:rPr>
        <w:t>物流园区的规划、设计及建设。</w:t>
      </w:r>
    </w:p>
    <w:p w14:paraId="12814664">
      <w:pPr>
        <w:pStyle w:val="54"/>
        <w:keepNext w:val="0"/>
        <w:keepLines w:val="0"/>
        <w:pageBreakBefore w:val="0"/>
        <w:widowControl w:val="0"/>
        <w:numPr>
          <w:ilvl w:val="0"/>
          <w:numId w:val="2"/>
        </w:numPr>
        <w:kinsoku/>
        <w:wordWrap w:val="0"/>
        <w:overflowPunct/>
        <w:topLinePunct w:val="0"/>
        <w:autoSpaceDE w:val="0"/>
        <w:autoSpaceDN w:val="0"/>
        <w:bidi w:val="0"/>
        <w:adjustRightInd/>
        <w:snapToGrid w:val="0"/>
        <w:spacing w:before="313" w:beforeLines="100"/>
        <w:jc w:val="both"/>
        <w:textAlignment w:val="auto"/>
        <w:outlineLvl w:val="0"/>
        <w:rPr>
          <w:rFonts w:hint="eastAsia" w:ascii="黑体" w:hAnsi="黑体" w:eastAsia="黑体" w:cs="黑体"/>
          <w:color w:val="auto"/>
          <w:sz w:val="21"/>
          <w:szCs w:val="21"/>
        </w:rPr>
      </w:pPr>
      <w:bookmarkStart w:id="2" w:name="_Toc9120"/>
      <w:r>
        <w:rPr>
          <w:rFonts w:hint="eastAsia" w:ascii="黑体" w:hAnsi="黑体" w:eastAsia="黑体" w:cs="黑体"/>
          <w:color w:val="auto"/>
          <w:sz w:val="21"/>
          <w:szCs w:val="21"/>
        </w:rPr>
        <w:t>规范性引用文件</w:t>
      </w:r>
      <w:bookmarkEnd w:id="2"/>
    </w:p>
    <w:p w14:paraId="0023B2C2">
      <w:pPr>
        <w:pStyle w:val="53"/>
        <w:widowControl w:val="0"/>
        <w:wordWrap w:val="0"/>
        <w:autoSpaceDE w:val="0"/>
        <w:autoSpaceDN w:val="0"/>
        <w:snapToGrid/>
        <w:ind w:leftChars="0" w:firstLine="411"/>
        <w:jc w:val="both"/>
        <w:rPr>
          <w:color w:val="auto"/>
        </w:rPr>
      </w:pPr>
      <w:r>
        <w:rPr>
          <w:rFonts w:hint="eastAsia" w:ascii="宋体" w:hAnsi="宋体" w:eastAsia="宋体" w:cs="宋体"/>
          <w:color w:val="auto"/>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1FEE6CA">
      <w:pPr>
        <w:pStyle w:val="53"/>
        <w:widowControl w:val="0"/>
        <w:wordWrap w:val="0"/>
        <w:autoSpaceDE w:val="0"/>
        <w:autoSpaceDN w:val="0"/>
        <w:snapToGrid/>
        <w:ind w:leftChars="0" w:firstLine="411"/>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GB 5768</w:t>
      </w:r>
      <w:r>
        <w:rPr>
          <w:rFonts w:hint="eastAsia" w:hAnsi="宋体" w:cs="宋体"/>
          <w:color w:val="auto"/>
          <w:sz w:val="21"/>
          <w:szCs w:val="21"/>
          <w:lang w:val="en-US" w:eastAsia="zh-CN"/>
        </w:rPr>
        <w:t>（所有部分）</w:t>
      </w:r>
      <w:r>
        <w:rPr>
          <w:rFonts w:hint="eastAsia"/>
          <w:color w:val="auto"/>
        </w:rPr>
        <w:t>　</w:t>
      </w:r>
      <w:r>
        <w:rPr>
          <w:rFonts w:hint="eastAsia" w:hAnsi="宋体" w:cs="宋体"/>
          <w:color w:val="auto"/>
          <w:sz w:val="21"/>
          <w:szCs w:val="21"/>
          <w:lang w:val="en-US" w:eastAsia="zh-CN"/>
        </w:rPr>
        <w:t>道路交通标志和标线</w:t>
      </w:r>
    </w:p>
    <w:p w14:paraId="2292E59F">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GB/T 21334</w:t>
      </w:r>
      <w:r>
        <w:rPr>
          <w:rFonts w:hint="eastAsia"/>
          <w:color w:val="auto"/>
        </w:rPr>
        <w:t>　</w:t>
      </w:r>
      <w:r>
        <w:rPr>
          <w:rFonts w:hint="eastAsia" w:ascii="宋体" w:hAnsi="宋体" w:eastAsia="宋体" w:cs="宋体"/>
          <w:color w:val="auto"/>
          <w:sz w:val="21"/>
          <w:szCs w:val="21"/>
        </w:rPr>
        <w:t>物流园区分类与规划基本要求</w:t>
      </w:r>
    </w:p>
    <w:p w14:paraId="05B5985B">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GB/T 30337 </w:t>
      </w:r>
      <w:r>
        <w:rPr>
          <w:rFonts w:hint="eastAsia" w:hAnsi="宋体" w:cs="宋体"/>
          <w:color w:val="auto"/>
          <w:sz w:val="21"/>
          <w:szCs w:val="21"/>
          <w:lang w:val="en-US" w:eastAsia="zh-CN"/>
        </w:rPr>
        <w:t xml:space="preserve"> </w:t>
      </w:r>
      <w:r>
        <w:rPr>
          <w:rFonts w:hint="eastAsia" w:ascii="宋体" w:hAnsi="宋体" w:eastAsia="宋体" w:cs="宋体"/>
          <w:color w:val="auto"/>
          <w:sz w:val="21"/>
          <w:szCs w:val="21"/>
        </w:rPr>
        <w:t>物流园区统计指标体系</w:t>
      </w:r>
    </w:p>
    <w:p w14:paraId="265D806A">
      <w:pPr>
        <w:pStyle w:val="53"/>
        <w:widowControl w:val="0"/>
        <w:wordWrap w:val="0"/>
        <w:autoSpaceDE w:val="0"/>
        <w:autoSpaceDN w:val="0"/>
        <w:snapToGrid/>
        <w:ind w:leftChars="0" w:firstLine="411"/>
        <w:jc w:val="both"/>
        <w:rPr>
          <w:color w:val="auto"/>
        </w:rPr>
      </w:pPr>
      <w:r>
        <w:rPr>
          <w:rFonts w:hint="eastAsia" w:ascii="宋体" w:hAnsi="宋体" w:eastAsia="宋体" w:cs="宋体"/>
          <w:color w:val="auto"/>
          <w:sz w:val="21"/>
          <w:szCs w:val="21"/>
        </w:rPr>
        <w:t>GB/T 44459</w:t>
      </w:r>
      <w:r>
        <w:rPr>
          <w:rFonts w:hint="eastAsia"/>
          <w:color w:val="auto"/>
        </w:rPr>
        <w:t>　</w:t>
      </w:r>
      <w:r>
        <w:rPr>
          <w:rFonts w:hint="eastAsia" w:ascii="宋体" w:hAnsi="宋体" w:eastAsia="宋体" w:cs="宋体"/>
          <w:color w:val="auto"/>
          <w:sz w:val="21"/>
          <w:szCs w:val="21"/>
        </w:rPr>
        <w:t>物流园区数字化通用技术要求</w:t>
      </w:r>
    </w:p>
    <w:p w14:paraId="24615B15">
      <w:pPr>
        <w:pStyle w:val="53"/>
        <w:widowControl w:val="0"/>
        <w:wordWrap w:val="0"/>
        <w:autoSpaceDE w:val="0"/>
        <w:autoSpaceDN w:val="0"/>
        <w:snapToGrid/>
        <w:ind w:leftChars="0" w:firstLine="411"/>
        <w:jc w:val="both"/>
        <w:rPr>
          <w:color w:val="auto"/>
        </w:rPr>
      </w:pPr>
      <w:r>
        <w:rPr>
          <w:rFonts w:hint="eastAsia" w:ascii="宋体" w:hAnsi="宋体" w:eastAsia="宋体" w:cs="宋体"/>
          <w:color w:val="auto"/>
          <w:sz w:val="21"/>
          <w:szCs w:val="21"/>
        </w:rPr>
        <w:t>GB 50016</w:t>
      </w:r>
      <w:r>
        <w:rPr>
          <w:rFonts w:hint="eastAsia"/>
          <w:color w:val="auto"/>
        </w:rPr>
        <w:t>　</w:t>
      </w:r>
      <w:r>
        <w:rPr>
          <w:rFonts w:hint="eastAsia" w:ascii="宋体" w:hAnsi="宋体" w:eastAsia="宋体" w:cs="宋体"/>
          <w:color w:val="auto"/>
          <w:sz w:val="21"/>
          <w:szCs w:val="21"/>
        </w:rPr>
        <w:t>建筑设计防火规范</w:t>
      </w:r>
    </w:p>
    <w:p w14:paraId="0414CA7A">
      <w:pPr>
        <w:pStyle w:val="53"/>
        <w:widowControl w:val="0"/>
        <w:wordWrap w:val="0"/>
        <w:autoSpaceDE w:val="0"/>
        <w:autoSpaceDN w:val="0"/>
        <w:snapToGrid/>
        <w:ind w:leftChars="0" w:firstLine="411"/>
        <w:jc w:val="both"/>
        <w:rPr>
          <w:rFonts w:hint="eastAsia" w:eastAsia="宋体"/>
          <w:color w:val="auto"/>
          <w:lang w:val="en-US" w:eastAsia="zh-CN"/>
        </w:rPr>
      </w:pPr>
      <w:r>
        <w:rPr>
          <w:rFonts w:hint="eastAsia" w:ascii="宋体" w:hAnsi="宋体" w:eastAsia="宋体" w:cs="宋体"/>
          <w:color w:val="auto"/>
          <w:sz w:val="21"/>
          <w:szCs w:val="21"/>
        </w:rPr>
        <w:t>GB 50052</w:t>
      </w:r>
      <w:r>
        <w:rPr>
          <w:rFonts w:hint="eastAsia"/>
          <w:color w:val="auto"/>
        </w:rPr>
        <w:t>　</w:t>
      </w:r>
      <w:r>
        <w:rPr>
          <w:rFonts w:hint="eastAsia" w:hAnsi="宋体" w:cs="宋体"/>
          <w:color w:val="auto"/>
          <w:sz w:val="21"/>
          <w:szCs w:val="21"/>
          <w:lang w:val="en-US" w:eastAsia="zh-CN"/>
        </w:rPr>
        <w:t>供配电系统设计规范</w:t>
      </w:r>
    </w:p>
    <w:p w14:paraId="3D39BBAB">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GB 50072 </w:t>
      </w:r>
      <w:r>
        <w:rPr>
          <w:rFonts w:hint="eastAsia" w:hAnsi="宋体" w:cs="宋体"/>
          <w:color w:val="auto"/>
          <w:sz w:val="21"/>
          <w:szCs w:val="21"/>
          <w:lang w:val="en-US" w:eastAsia="zh-CN"/>
        </w:rPr>
        <w:t xml:space="preserve"> </w:t>
      </w:r>
      <w:r>
        <w:rPr>
          <w:rFonts w:hint="eastAsia" w:ascii="宋体" w:hAnsi="宋体" w:eastAsia="宋体" w:cs="宋体"/>
          <w:color w:val="auto"/>
          <w:sz w:val="21"/>
          <w:szCs w:val="21"/>
        </w:rPr>
        <w:t>冷库设计标准</w:t>
      </w:r>
    </w:p>
    <w:p w14:paraId="4E9679FF">
      <w:pPr>
        <w:pStyle w:val="53"/>
        <w:widowControl w:val="0"/>
        <w:wordWrap w:val="0"/>
        <w:autoSpaceDE w:val="0"/>
        <w:autoSpaceDN w:val="0"/>
        <w:snapToGrid/>
        <w:ind w:leftChars="0" w:firstLine="411"/>
        <w:jc w:val="both"/>
        <w:rPr>
          <w:rFonts w:hint="eastAsia" w:hAnsi="宋体" w:cs="宋体"/>
          <w:color w:val="auto"/>
          <w:sz w:val="21"/>
          <w:szCs w:val="21"/>
          <w:lang w:val="en-US" w:eastAsia="zh-CN"/>
        </w:rPr>
      </w:pPr>
      <w:r>
        <w:rPr>
          <w:rFonts w:hint="eastAsia" w:ascii="宋体" w:hAnsi="宋体" w:eastAsia="宋体" w:cs="宋体"/>
          <w:color w:val="auto"/>
          <w:sz w:val="21"/>
          <w:szCs w:val="21"/>
        </w:rPr>
        <w:t>GB 50140</w:t>
      </w:r>
      <w:r>
        <w:rPr>
          <w:rFonts w:hint="eastAsia"/>
          <w:color w:val="auto"/>
        </w:rPr>
        <w:t>　</w:t>
      </w:r>
      <w:r>
        <w:rPr>
          <w:rFonts w:hint="eastAsia" w:hAnsi="宋体" w:cs="宋体"/>
          <w:color w:val="auto"/>
          <w:sz w:val="21"/>
          <w:szCs w:val="21"/>
          <w:lang w:val="en-US" w:eastAsia="zh-CN"/>
        </w:rPr>
        <w:t>建筑灭火器配置设计规范</w:t>
      </w:r>
    </w:p>
    <w:p w14:paraId="5CC50814">
      <w:pPr>
        <w:pStyle w:val="53"/>
        <w:widowControl w:val="0"/>
        <w:wordWrap w:val="0"/>
        <w:autoSpaceDE w:val="0"/>
        <w:autoSpaceDN w:val="0"/>
        <w:snapToGrid/>
        <w:ind w:leftChars="0" w:firstLine="411"/>
        <w:jc w:val="both"/>
        <w:rPr>
          <w:rFonts w:hint="eastAsia" w:hAnsi="宋体" w:cs="宋体"/>
          <w:color w:val="auto"/>
          <w:sz w:val="21"/>
          <w:szCs w:val="21"/>
          <w:lang w:val="en-US" w:eastAsia="zh-CN"/>
        </w:rPr>
      </w:pPr>
      <w:r>
        <w:rPr>
          <w:rFonts w:hint="eastAsia" w:ascii="宋体" w:hAnsi="宋体" w:eastAsia="宋体" w:cs="宋体"/>
          <w:color w:val="auto"/>
          <w:sz w:val="21"/>
          <w:szCs w:val="21"/>
        </w:rPr>
        <w:t>GB 50282</w:t>
      </w:r>
      <w:r>
        <w:rPr>
          <w:rFonts w:hint="eastAsia"/>
          <w:color w:val="auto"/>
        </w:rPr>
        <w:t>　城市给水工程规划规范</w:t>
      </w:r>
    </w:p>
    <w:p w14:paraId="2E5097F8">
      <w:pPr>
        <w:pStyle w:val="53"/>
        <w:widowControl w:val="0"/>
        <w:wordWrap w:val="0"/>
        <w:autoSpaceDE w:val="0"/>
        <w:autoSpaceDN w:val="0"/>
        <w:snapToGrid/>
        <w:ind w:leftChars="0" w:firstLine="411"/>
        <w:jc w:val="both"/>
        <w:rPr>
          <w:color w:val="auto"/>
        </w:rPr>
      </w:pPr>
      <w:r>
        <w:rPr>
          <w:rFonts w:hint="eastAsia" w:ascii="宋体" w:hAnsi="宋体" w:eastAsia="宋体" w:cs="宋体"/>
          <w:color w:val="auto"/>
          <w:sz w:val="21"/>
          <w:szCs w:val="21"/>
        </w:rPr>
        <w:t>GB 50289</w:t>
      </w:r>
      <w:r>
        <w:rPr>
          <w:rFonts w:hint="eastAsia"/>
          <w:color w:val="auto"/>
        </w:rPr>
        <w:t>　城市工程管线综合规划规范</w:t>
      </w:r>
    </w:p>
    <w:p w14:paraId="61F7071B">
      <w:pPr>
        <w:pStyle w:val="53"/>
        <w:widowControl w:val="0"/>
        <w:wordWrap w:val="0"/>
        <w:autoSpaceDE w:val="0"/>
        <w:autoSpaceDN w:val="0"/>
        <w:snapToGrid/>
        <w:ind w:leftChars="0" w:firstLine="411"/>
        <w:jc w:val="both"/>
        <w:rPr>
          <w:rFonts w:hint="eastAsia" w:eastAsia="宋体"/>
          <w:color w:val="auto"/>
          <w:lang w:eastAsia="zh-CN"/>
        </w:rPr>
      </w:pPr>
      <w:r>
        <w:rPr>
          <w:rFonts w:hint="eastAsia" w:ascii="宋体" w:hAnsi="宋体" w:eastAsia="宋体" w:cs="宋体"/>
          <w:color w:val="auto"/>
          <w:sz w:val="21"/>
          <w:szCs w:val="21"/>
        </w:rPr>
        <w:t>GB/T 50293</w:t>
      </w:r>
      <w:r>
        <w:rPr>
          <w:rFonts w:hint="eastAsia"/>
          <w:color w:val="auto"/>
        </w:rPr>
        <w:t>　城市电力规划规范</w:t>
      </w:r>
    </w:p>
    <w:p w14:paraId="0627D1FE">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GB 50318</w:t>
      </w:r>
      <w:r>
        <w:rPr>
          <w:rFonts w:hint="eastAsia"/>
          <w:color w:val="auto"/>
        </w:rPr>
        <w:t>　城市排水工程规划规范</w:t>
      </w:r>
    </w:p>
    <w:p w14:paraId="1D0840F3">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GB/T 50378</w:t>
      </w:r>
      <w:r>
        <w:rPr>
          <w:rFonts w:hint="eastAsia"/>
          <w:color w:val="auto"/>
        </w:rPr>
        <w:t>　绿色建筑评价标准</w:t>
      </w:r>
    </w:p>
    <w:p w14:paraId="2FFF03B6">
      <w:pPr>
        <w:pStyle w:val="53"/>
        <w:widowControl w:val="0"/>
        <w:wordWrap w:val="0"/>
        <w:autoSpaceDE w:val="0"/>
        <w:autoSpaceDN w:val="0"/>
        <w:snapToGrid/>
        <w:ind w:leftChars="0" w:firstLine="411"/>
        <w:jc w:val="both"/>
        <w:rPr>
          <w:rFonts w:hint="eastAsia"/>
          <w:color w:val="auto"/>
        </w:rPr>
      </w:pPr>
      <w:r>
        <w:rPr>
          <w:rFonts w:hint="eastAsia" w:ascii="宋体" w:hAnsi="宋体" w:eastAsia="宋体" w:cs="宋体"/>
          <w:color w:val="auto"/>
          <w:sz w:val="21"/>
          <w:szCs w:val="21"/>
        </w:rPr>
        <w:t>GB 50763</w:t>
      </w:r>
      <w:r>
        <w:rPr>
          <w:rFonts w:hint="eastAsia"/>
          <w:color w:val="auto"/>
        </w:rPr>
        <w:t>　无障碍设计规范</w:t>
      </w:r>
    </w:p>
    <w:p w14:paraId="2F0769B8">
      <w:pPr>
        <w:pStyle w:val="53"/>
        <w:widowControl w:val="0"/>
        <w:wordWrap w:val="0"/>
        <w:autoSpaceDE w:val="0"/>
        <w:autoSpaceDN w:val="0"/>
        <w:snapToGrid/>
        <w:ind w:leftChars="0" w:firstLine="411"/>
        <w:jc w:val="both"/>
        <w:rPr>
          <w:rFonts w:hint="eastAsia"/>
          <w:color w:val="auto"/>
        </w:rPr>
      </w:pPr>
      <w:r>
        <w:rPr>
          <w:rFonts w:hint="eastAsia"/>
          <w:color w:val="auto"/>
        </w:rPr>
        <w:t>GB 51157　物流建筑设计规范</w:t>
      </w:r>
    </w:p>
    <w:p w14:paraId="36D998B8">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JGJ/T 67</w:t>
      </w:r>
      <w:r>
        <w:rPr>
          <w:rFonts w:hint="eastAsia"/>
          <w:color w:val="auto"/>
        </w:rPr>
        <w:t>　办公建筑设计标准</w:t>
      </w:r>
    </w:p>
    <w:p w14:paraId="5298C571">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JT/T 1537.1</w:t>
      </w:r>
      <w:r>
        <w:rPr>
          <w:rFonts w:hint="eastAsia"/>
          <w:color w:val="auto"/>
        </w:rPr>
        <w:t>　</w:t>
      </w:r>
      <w:r>
        <w:rPr>
          <w:rFonts w:hint="eastAsia" w:ascii="宋体" w:hAnsi="宋体" w:eastAsia="宋体" w:cs="宋体"/>
          <w:color w:val="auto"/>
          <w:sz w:val="21"/>
          <w:szCs w:val="21"/>
        </w:rPr>
        <w:t>近零碳交通设施技术要求</w:t>
      </w:r>
      <w:r>
        <w:rPr>
          <w:rFonts w:hint="eastAsia"/>
          <w:color w:val="auto"/>
        </w:rPr>
        <w:t>　</w:t>
      </w:r>
      <w:r>
        <w:rPr>
          <w:rFonts w:hint="eastAsia" w:ascii="宋体" w:hAnsi="宋体" w:eastAsia="宋体" w:cs="宋体"/>
          <w:color w:val="auto"/>
          <w:sz w:val="21"/>
          <w:szCs w:val="21"/>
        </w:rPr>
        <w:t>第1部分：货运枢纽（物流园区）</w:t>
      </w:r>
    </w:p>
    <w:p w14:paraId="0D34C4EC">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SB/T 11198 </w:t>
      </w:r>
      <w:r>
        <w:rPr>
          <w:rFonts w:hint="eastAsia" w:hAnsi="宋体" w:cs="宋体"/>
          <w:color w:val="auto"/>
          <w:sz w:val="21"/>
          <w:szCs w:val="21"/>
          <w:lang w:val="en-US" w:eastAsia="zh-CN"/>
        </w:rPr>
        <w:t xml:space="preserve"> </w:t>
      </w:r>
      <w:r>
        <w:rPr>
          <w:rFonts w:hint="eastAsia" w:ascii="宋体" w:hAnsi="宋体" w:eastAsia="宋体" w:cs="宋体"/>
          <w:color w:val="auto"/>
          <w:sz w:val="21"/>
          <w:szCs w:val="21"/>
        </w:rPr>
        <w:t>商贸物流园区建设与运营服务规范</w:t>
      </w:r>
    </w:p>
    <w:p w14:paraId="6F7C98DA">
      <w:pPr>
        <w:pStyle w:val="54"/>
        <w:keepNext w:val="0"/>
        <w:keepLines w:val="0"/>
        <w:pageBreakBefore w:val="0"/>
        <w:widowControl w:val="0"/>
        <w:numPr>
          <w:ilvl w:val="0"/>
          <w:numId w:val="2"/>
        </w:numPr>
        <w:kinsoku/>
        <w:wordWrap w:val="0"/>
        <w:overflowPunct/>
        <w:topLinePunct w:val="0"/>
        <w:autoSpaceDE w:val="0"/>
        <w:autoSpaceDN w:val="0"/>
        <w:bidi w:val="0"/>
        <w:adjustRightInd/>
        <w:snapToGrid w:val="0"/>
        <w:spacing w:before="313" w:beforeLines="100"/>
        <w:jc w:val="both"/>
        <w:textAlignment w:val="auto"/>
        <w:outlineLvl w:val="0"/>
        <w:rPr>
          <w:color w:val="auto"/>
        </w:rPr>
      </w:pPr>
      <w:bookmarkStart w:id="3" w:name="_Toc8311"/>
      <w:r>
        <w:rPr>
          <w:rFonts w:hint="eastAsia" w:ascii="黑体" w:hAnsi="黑体" w:eastAsia="黑体" w:cs="黑体"/>
          <w:color w:val="auto"/>
          <w:sz w:val="21"/>
          <w:szCs w:val="21"/>
        </w:rPr>
        <w:t>术语和定义</w:t>
      </w:r>
      <w:bookmarkEnd w:id="3"/>
    </w:p>
    <w:p w14:paraId="050E5857">
      <w:pPr>
        <w:pStyle w:val="53"/>
        <w:widowControl w:val="0"/>
        <w:wordWrap w:val="0"/>
        <w:autoSpaceDE w:val="0"/>
        <w:autoSpaceDN w:val="0"/>
        <w:snapToGrid/>
        <w:ind w:leftChars="0" w:firstLine="411"/>
        <w:jc w:val="both"/>
        <w:rPr>
          <w:color w:val="auto"/>
        </w:rPr>
      </w:pPr>
      <w:r>
        <w:rPr>
          <w:rFonts w:hint="eastAsia" w:ascii="宋体" w:hAnsi="宋体" w:eastAsia="宋体" w:cs="宋体"/>
          <w:color w:val="auto"/>
          <w:sz w:val="21"/>
          <w:szCs w:val="21"/>
        </w:rPr>
        <w:t>下列术语和定义适用于本文件。</w:t>
      </w:r>
    </w:p>
    <w:p w14:paraId="525E6FE9">
      <w:pPr>
        <w:pStyle w:val="57"/>
        <w:widowControl w:val="0"/>
        <w:numPr>
          <w:ilvl w:val="1"/>
          <w:numId w:val="2"/>
        </w:numPr>
        <w:wordWrap w:val="0"/>
        <w:autoSpaceDE w:val="0"/>
        <w:autoSpaceDN w:val="0"/>
        <w:snapToGrid w:val="0"/>
        <w:jc w:val="both"/>
        <w:outlineLvl w:val="1"/>
        <w:rPr>
          <w:color w:val="auto"/>
        </w:rPr>
      </w:pPr>
      <w:bookmarkStart w:id="4" w:name="_Toc103"/>
      <w:bookmarkEnd w:id="4"/>
      <w:bookmarkStart w:id="5" w:name="_Toc19501"/>
      <w:bookmarkEnd w:id="5"/>
      <w:bookmarkStart w:id="6" w:name="_Tocd4b078e8-07e5-4033-8b11-3fde1bf4c025"/>
      <w:bookmarkEnd w:id="6"/>
    </w:p>
    <w:p w14:paraId="730D2908">
      <w:pPr>
        <w:pStyle w:val="53"/>
        <w:widowControl w:val="0"/>
        <w:wordWrap w:val="0"/>
        <w:autoSpaceDE w:val="0"/>
        <w:autoSpaceDN w:val="0"/>
        <w:snapToGrid/>
        <w:ind w:leftChars="0" w:firstLine="411"/>
        <w:jc w:val="both"/>
        <w:rPr>
          <w:rFonts w:hint="eastAsia" w:ascii="黑体" w:hAnsi="黑体" w:eastAsia="黑体" w:cs="Times New Roman"/>
          <w:color w:val="auto"/>
          <w:sz w:val="21"/>
          <w:lang w:val="en-US" w:eastAsia="zh-CN" w:bidi="ar-SA"/>
        </w:rPr>
      </w:pPr>
      <w:r>
        <w:rPr>
          <w:rFonts w:hint="eastAsia" w:ascii="黑体" w:hAnsi="黑体" w:eastAsia="黑体" w:cs="黑体"/>
          <w:color w:val="auto"/>
          <w:sz w:val="21"/>
          <w:szCs w:val="21"/>
        </w:rPr>
        <w:t>物流园区</w:t>
      </w:r>
      <w:r>
        <w:rPr>
          <w:rFonts w:hint="eastAsia" w:ascii="Times New Roman" w:cs="Times New Roman"/>
          <w:color w:val="auto"/>
          <w:sz w:val="21"/>
          <w:szCs w:val="21"/>
          <w:lang w:val="en-US" w:eastAsia="zh-CN"/>
        </w:rPr>
        <w:t xml:space="preserve"> </w:t>
      </w:r>
      <w:r>
        <w:rPr>
          <w:rFonts w:hint="eastAsia" w:ascii="黑体" w:hAnsi="黑体" w:eastAsia="黑体" w:cs="Times New Roman"/>
          <w:color w:val="auto"/>
          <w:sz w:val="21"/>
          <w:lang w:val="en-US" w:eastAsia="zh-CN" w:bidi="ar-SA"/>
        </w:rPr>
        <w:t>logistics park</w:t>
      </w:r>
    </w:p>
    <w:p w14:paraId="742241F1">
      <w:pPr>
        <w:pStyle w:val="53"/>
        <w:widowControl w:val="0"/>
        <w:wordWrap w:val="0"/>
        <w:autoSpaceDE w:val="0"/>
        <w:autoSpaceDN w:val="0"/>
        <w:snapToGrid/>
        <w:ind w:leftChars="0" w:firstLine="411"/>
        <w:jc w:val="both"/>
        <w:rPr>
          <w:rFonts w:hint="eastAsia" w:hAnsi="宋体" w:cs="宋体"/>
          <w:color w:val="auto"/>
          <w:sz w:val="21"/>
          <w:szCs w:val="21"/>
          <w:lang w:val="en-US" w:eastAsia="zh-CN"/>
        </w:rPr>
      </w:pPr>
      <w:r>
        <w:rPr>
          <w:rFonts w:hint="eastAsia" w:hAnsi="宋体" w:cs="宋体"/>
          <w:color w:val="auto"/>
          <w:sz w:val="21"/>
          <w:szCs w:val="21"/>
          <w:lang w:val="en-US" w:eastAsia="zh-CN"/>
        </w:rPr>
        <w:t>由政府规划,由园区经营主体统一管理,为入驻企业提供物流基础设施和公共服务的物流产业集聚区。</w:t>
      </w:r>
    </w:p>
    <w:p w14:paraId="74A87431">
      <w:pPr>
        <w:pStyle w:val="53"/>
        <w:widowControl w:val="0"/>
        <w:wordWrap w:val="0"/>
        <w:autoSpaceDE w:val="0"/>
        <w:autoSpaceDN w:val="0"/>
        <w:snapToGrid/>
        <w:ind w:leftChars="0" w:firstLine="411"/>
        <w:jc w:val="both"/>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[来源:GB/T 30337-2025,3.1]</w:t>
      </w:r>
    </w:p>
    <w:p w14:paraId="0C6F51F9">
      <w:pPr>
        <w:pStyle w:val="57"/>
        <w:widowControl w:val="0"/>
        <w:numPr>
          <w:ilvl w:val="1"/>
          <w:numId w:val="2"/>
        </w:numPr>
        <w:wordWrap w:val="0"/>
        <w:autoSpaceDE w:val="0"/>
        <w:autoSpaceDN w:val="0"/>
        <w:snapToGrid w:val="0"/>
        <w:jc w:val="both"/>
        <w:outlineLvl w:val="1"/>
        <w:rPr>
          <w:color w:val="auto"/>
        </w:rPr>
      </w:pPr>
      <w:bookmarkStart w:id="7" w:name="_Toc19023"/>
      <w:bookmarkEnd w:id="7"/>
    </w:p>
    <w:p w14:paraId="76E5CB41">
      <w:pPr>
        <w:pStyle w:val="53"/>
        <w:widowControl w:val="0"/>
        <w:wordWrap w:val="0"/>
        <w:autoSpaceDE w:val="0"/>
        <w:autoSpaceDN w:val="0"/>
        <w:snapToGrid/>
        <w:ind w:leftChars="0" w:firstLine="411"/>
        <w:jc w:val="both"/>
        <w:rPr>
          <w:color w:val="auto"/>
        </w:rPr>
      </w:pPr>
      <w:r>
        <w:rPr>
          <w:rFonts w:hint="eastAsia" w:ascii="黑体" w:hAnsi="黑体" w:eastAsia="黑体" w:cs="黑体"/>
          <w:color w:val="auto"/>
          <w:sz w:val="21"/>
          <w:szCs w:val="21"/>
        </w:rPr>
        <w:t>跨区域</w:t>
      </w:r>
      <w:r>
        <w:rPr>
          <w:rFonts w:hint="eastAsia" w:ascii="黑体" w:hAnsi="黑体" w:eastAsia="黑体" w:cs="黑体"/>
          <w:color w:val="auto"/>
          <w:sz w:val="21"/>
          <w:szCs w:val="21"/>
          <w:lang w:eastAsia="zh-CN"/>
        </w:rPr>
        <w:t>综合</w:t>
      </w:r>
      <w:r>
        <w:rPr>
          <w:rFonts w:hint="eastAsia" w:ascii="黑体" w:hAnsi="黑体" w:eastAsia="黑体" w:cs="黑体"/>
          <w:color w:val="auto"/>
          <w:sz w:val="21"/>
          <w:szCs w:val="21"/>
        </w:rPr>
        <w:t>物流园区</w:t>
      </w:r>
      <w:r>
        <w:rPr>
          <w:rFonts w:hint="eastAsia" w:ascii="Times New Roman" w:cs="Times New Roman"/>
          <w:color w:val="auto"/>
          <w:sz w:val="21"/>
          <w:szCs w:val="21"/>
          <w:lang w:val="en-US" w:eastAsia="zh-CN"/>
        </w:rPr>
        <w:t xml:space="preserve">  </w:t>
      </w:r>
      <w:r>
        <w:rPr>
          <w:rFonts w:hint="eastAsia" w:ascii="黑体" w:hAnsi="黑体" w:eastAsia="黑体" w:cs="Times New Roman"/>
          <w:color w:val="auto"/>
          <w:sz w:val="21"/>
          <w:lang w:val="en-US" w:eastAsia="zh-CN" w:bidi="ar-SA"/>
        </w:rPr>
        <w:t>cross-regional commercial logistics park</w:t>
      </w:r>
    </w:p>
    <w:p w14:paraId="109DCA73">
      <w:pPr>
        <w:pStyle w:val="53"/>
        <w:widowControl w:val="0"/>
        <w:wordWrap w:val="0"/>
        <w:autoSpaceDE w:val="0"/>
        <w:autoSpaceDN w:val="0"/>
        <w:snapToGrid/>
        <w:ind w:leftChars="0" w:firstLine="41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依托优越的区位交通条件，顺应区域协同发展战略，兼具物流集散、多式联运、供应链集成服务功能，以服务相邻多个省（市、县）交界区域为主要目标的综合性物流集聚平台</w:t>
      </w:r>
      <w:r>
        <w:rPr>
          <w:rFonts w:hint="eastAsia" w:hAnsi="宋体" w:cs="宋体"/>
          <w:color w:val="auto"/>
          <w:sz w:val="21"/>
          <w:szCs w:val="21"/>
          <w:lang w:eastAsia="zh-CN"/>
        </w:rPr>
        <w:t>。</w:t>
      </w:r>
      <w:r>
        <w:rPr>
          <w:rFonts w:hint="eastAsia" w:ascii="宋体" w:hAnsi="宋体" w:eastAsia="宋体" w:cs="宋体"/>
          <w:color w:val="auto"/>
          <w:sz w:val="21"/>
          <w:szCs w:val="21"/>
          <w:highlight w:val="none"/>
        </w:rPr>
        <w:t>（以下简称“园区”）</w:t>
      </w:r>
      <w:r>
        <w:rPr>
          <w:rFonts w:hint="eastAsia" w:ascii="宋体" w:hAnsi="宋体" w:eastAsia="宋体" w:cs="宋体"/>
          <w:color w:val="auto"/>
          <w:sz w:val="21"/>
          <w:szCs w:val="21"/>
        </w:rPr>
        <w:t>。</w:t>
      </w:r>
    </w:p>
    <w:p w14:paraId="4430B791">
      <w:pPr>
        <w:pStyle w:val="57"/>
        <w:widowControl w:val="0"/>
        <w:numPr>
          <w:ilvl w:val="1"/>
          <w:numId w:val="2"/>
        </w:numPr>
        <w:wordWrap w:val="0"/>
        <w:autoSpaceDE w:val="0"/>
        <w:autoSpaceDN w:val="0"/>
        <w:snapToGrid w:val="0"/>
        <w:jc w:val="both"/>
        <w:outlineLvl w:val="1"/>
        <w:rPr>
          <w:color w:val="auto"/>
        </w:rPr>
      </w:pPr>
      <w:bookmarkStart w:id="8" w:name="_Toc21580"/>
      <w:bookmarkEnd w:id="8"/>
    </w:p>
    <w:p w14:paraId="3616B072">
      <w:pPr>
        <w:pStyle w:val="53"/>
        <w:widowControl w:val="0"/>
        <w:wordWrap w:val="0"/>
        <w:autoSpaceDE w:val="0"/>
        <w:autoSpaceDN w:val="0"/>
        <w:snapToGrid/>
        <w:ind w:leftChars="0" w:firstLine="411"/>
        <w:jc w:val="both"/>
        <w:rPr>
          <w:rFonts w:hint="eastAsia" w:ascii="黑体" w:hAnsi="黑体" w:eastAsia="黑体" w:cs="黑体"/>
          <w:color w:val="auto"/>
          <w:sz w:val="21"/>
          <w:szCs w:val="21"/>
        </w:rPr>
      </w:pPr>
      <w:r>
        <w:rPr>
          <w:rFonts w:hint="eastAsia" w:ascii="黑体" w:hAnsi="黑体" w:eastAsia="黑体" w:cs="黑体"/>
          <w:color w:val="auto"/>
          <w:sz w:val="21"/>
          <w:szCs w:val="21"/>
        </w:rPr>
        <w:t>物流公共信息平台 logistics information platforms</w:t>
      </w:r>
    </w:p>
    <w:p w14:paraId="2741C56D">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基于计算机通信网络技术，提供物流信息、技术、设备等资源共享服务的信息平台。</w:t>
      </w:r>
    </w:p>
    <w:p w14:paraId="015D96AC">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eastAsia="zh-CN"/>
        </w:rPr>
        <w:t>来源：</w:t>
      </w:r>
      <w:r>
        <w:rPr>
          <w:rFonts w:hint="eastAsia" w:ascii="宋体" w:hAnsi="宋体" w:eastAsia="宋体" w:cs="宋体"/>
          <w:color w:val="auto"/>
          <w:sz w:val="21"/>
          <w:szCs w:val="21"/>
        </w:rPr>
        <w:t>GB/T 18354—2006，5.37]</w:t>
      </w:r>
    </w:p>
    <w:p w14:paraId="5141C45D">
      <w:pPr>
        <w:pStyle w:val="57"/>
        <w:widowControl w:val="0"/>
        <w:numPr>
          <w:ilvl w:val="1"/>
          <w:numId w:val="2"/>
        </w:numPr>
        <w:wordWrap w:val="0"/>
        <w:autoSpaceDE w:val="0"/>
        <w:autoSpaceDN w:val="0"/>
        <w:snapToGrid w:val="0"/>
        <w:jc w:val="both"/>
        <w:outlineLvl w:val="1"/>
        <w:rPr>
          <w:color w:val="auto"/>
        </w:rPr>
      </w:pPr>
      <w:bookmarkStart w:id="9" w:name="_Toc20636"/>
      <w:bookmarkEnd w:id="9"/>
    </w:p>
    <w:p w14:paraId="069F77E7">
      <w:pPr>
        <w:pStyle w:val="53"/>
        <w:widowControl w:val="0"/>
        <w:wordWrap w:val="0"/>
        <w:autoSpaceDE w:val="0"/>
        <w:autoSpaceDN w:val="0"/>
        <w:snapToGrid/>
        <w:ind w:leftChars="0" w:firstLine="411"/>
        <w:jc w:val="both"/>
        <w:rPr>
          <w:rFonts w:hint="eastAsia" w:ascii="黑体" w:hAnsi="黑体" w:eastAsia="黑体" w:cs="黑体"/>
          <w:color w:val="auto"/>
          <w:sz w:val="21"/>
          <w:szCs w:val="21"/>
        </w:rPr>
      </w:pPr>
      <w:r>
        <w:rPr>
          <w:rFonts w:hint="eastAsia" w:ascii="黑体" w:hAnsi="黑体" w:eastAsia="黑体" w:cs="黑体"/>
          <w:color w:val="auto"/>
          <w:sz w:val="21"/>
          <w:szCs w:val="21"/>
        </w:rPr>
        <w:t>物流服务 logistics service</w:t>
      </w:r>
    </w:p>
    <w:p w14:paraId="5F75042C">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为满足客户需求所实施的一系列物流活动过程及其产生的结果。</w:t>
      </w:r>
    </w:p>
    <w:p w14:paraId="36C82474">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eastAsia="zh-CN"/>
        </w:rPr>
        <w:t>来源：</w:t>
      </w:r>
      <w:r>
        <w:rPr>
          <w:rFonts w:hint="eastAsia" w:ascii="宋体" w:hAnsi="宋体" w:eastAsia="宋体" w:cs="宋体"/>
          <w:color w:val="auto"/>
          <w:sz w:val="21"/>
          <w:szCs w:val="21"/>
        </w:rPr>
        <w:t>GB/T 18354—2006，2.7]</w:t>
      </w:r>
    </w:p>
    <w:p w14:paraId="02862458">
      <w:pPr>
        <w:pStyle w:val="57"/>
        <w:widowControl w:val="0"/>
        <w:numPr>
          <w:ilvl w:val="1"/>
          <w:numId w:val="2"/>
        </w:numPr>
        <w:wordWrap w:val="0"/>
        <w:autoSpaceDE w:val="0"/>
        <w:autoSpaceDN w:val="0"/>
        <w:snapToGrid w:val="0"/>
        <w:jc w:val="both"/>
        <w:outlineLvl w:val="1"/>
        <w:rPr>
          <w:color w:val="auto"/>
        </w:rPr>
      </w:pPr>
      <w:bookmarkStart w:id="10" w:name="_Toc22150"/>
      <w:bookmarkEnd w:id="10"/>
    </w:p>
    <w:p w14:paraId="7588DE51">
      <w:pPr>
        <w:pStyle w:val="53"/>
        <w:widowControl w:val="0"/>
        <w:wordWrap w:val="0"/>
        <w:autoSpaceDE w:val="0"/>
        <w:autoSpaceDN w:val="0"/>
        <w:snapToGrid/>
        <w:ind w:leftChars="0" w:firstLine="411"/>
        <w:jc w:val="both"/>
        <w:rPr>
          <w:rFonts w:hint="eastAsia" w:ascii="黑体" w:hAnsi="黑体" w:eastAsia="黑体" w:cs="黑体"/>
          <w:color w:val="auto"/>
          <w:sz w:val="21"/>
          <w:szCs w:val="21"/>
        </w:rPr>
      </w:pPr>
      <w:r>
        <w:rPr>
          <w:rFonts w:hint="eastAsia" w:ascii="黑体" w:hAnsi="黑体" w:eastAsia="黑体" w:cs="黑体"/>
          <w:color w:val="auto"/>
          <w:sz w:val="21"/>
          <w:szCs w:val="21"/>
        </w:rPr>
        <w:t>物流企业 logistics enterprise</w:t>
      </w:r>
    </w:p>
    <w:p w14:paraId="4BE7475D">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从事物流基本功能范围内的物流业务设计及系统运作，具有与自身业务相适应的信息管理系统，实行独立核算、独立承担民事责任的经济组织。</w:t>
      </w:r>
    </w:p>
    <w:p w14:paraId="1C011E7C">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eastAsia="zh-CN"/>
        </w:rPr>
        <w:t>来源：</w:t>
      </w:r>
      <w:r>
        <w:rPr>
          <w:rFonts w:hint="eastAsia" w:ascii="宋体" w:hAnsi="宋体" w:eastAsia="宋体" w:cs="宋体"/>
          <w:color w:val="auto"/>
          <w:sz w:val="21"/>
          <w:szCs w:val="21"/>
        </w:rPr>
        <w:t>GB/T 18354—2006，2.16]</w:t>
      </w:r>
    </w:p>
    <w:p w14:paraId="0ACF86C5">
      <w:pPr>
        <w:pStyle w:val="57"/>
        <w:widowControl w:val="0"/>
        <w:numPr>
          <w:ilvl w:val="1"/>
          <w:numId w:val="2"/>
        </w:numPr>
        <w:wordWrap w:val="0"/>
        <w:autoSpaceDE w:val="0"/>
        <w:autoSpaceDN w:val="0"/>
        <w:snapToGrid w:val="0"/>
        <w:jc w:val="both"/>
        <w:outlineLvl w:val="1"/>
        <w:rPr>
          <w:color w:val="auto"/>
        </w:rPr>
      </w:pPr>
      <w:bookmarkStart w:id="11" w:name="_Toc14116"/>
      <w:bookmarkEnd w:id="11"/>
    </w:p>
    <w:p w14:paraId="394E7AC2">
      <w:pPr>
        <w:pStyle w:val="53"/>
        <w:widowControl w:val="0"/>
        <w:wordWrap w:val="0"/>
        <w:autoSpaceDE w:val="0"/>
        <w:autoSpaceDN w:val="0"/>
        <w:snapToGrid/>
        <w:ind w:leftChars="0" w:firstLine="411"/>
        <w:jc w:val="both"/>
        <w:rPr>
          <w:rFonts w:hint="eastAsia" w:ascii="黑体" w:hAnsi="黑体" w:eastAsia="黑体" w:cs="黑体"/>
          <w:color w:val="auto"/>
          <w:sz w:val="21"/>
          <w:szCs w:val="21"/>
        </w:rPr>
      </w:pPr>
      <w:r>
        <w:rPr>
          <w:rFonts w:hint="eastAsia" w:ascii="黑体" w:hAnsi="黑体" w:eastAsia="黑体" w:cs="黑体"/>
          <w:color w:val="auto"/>
          <w:sz w:val="21"/>
          <w:szCs w:val="21"/>
        </w:rPr>
        <w:t>物流设施 logistics facilities</w:t>
      </w:r>
    </w:p>
    <w:p w14:paraId="3B23C4C4">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具备物流相关功能和提供物流服务的场所。</w:t>
      </w:r>
    </w:p>
    <w:p w14:paraId="3A0F4C57">
      <w:pPr>
        <w:pStyle w:val="53"/>
        <w:widowControl w:val="0"/>
        <w:wordWrap w:val="0"/>
        <w:autoSpaceDE w:val="0"/>
        <w:autoSpaceDN w:val="0"/>
        <w:snapToGrid/>
        <w:ind w:leftChars="0" w:firstLine="411"/>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eastAsia="zh-CN"/>
        </w:rPr>
        <w:t>来源：</w:t>
      </w:r>
      <w:r>
        <w:rPr>
          <w:rFonts w:hint="eastAsia" w:ascii="宋体" w:hAnsi="宋体" w:eastAsia="宋体" w:cs="宋体"/>
          <w:color w:val="auto"/>
          <w:sz w:val="21"/>
          <w:szCs w:val="21"/>
        </w:rPr>
        <w:t>GB/T 18354—2006，2.10]</w:t>
      </w:r>
    </w:p>
    <w:p w14:paraId="6CF0FFD0">
      <w:pPr>
        <w:pStyle w:val="54"/>
        <w:keepNext w:val="0"/>
        <w:keepLines w:val="0"/>
        <w:pageBreakBefore w:val="0"/>
        <w:widowControl w:val="0"/>
        <w:numPr>
          <w:ilvl w:val="0"/>
          <w:numId w:val="2"/>
        </w:numPr>
        <w:kinsoku/>
        <w:wordWrap w:val="0"/>
        <w:overflowPunct/>
        <w:topLinePunct w:val="0"/>
        <w:autoSpaceDE w:val="0"/>
        <w:autoSpaceDN w:val="0"/>
        <w:bidi w:val="0"/>
        <w:adjustRightInd/>
        <w:snapToGrid w:val="0"/>
        <w:spacing w:before="313" w:beforeLines="100"/>
        <w:jc w:val="both"/>
        <w:textAlignment w:val="auto"/>
        <w:outlineLvl w:val="0"/>
        <w:rPr>
          <w:rFonts w:hint="eastAsia" w:ascii="黑体" w:hAnsi="黑体" w:eastAsia="黑体" w:cs="黑体"/>
          <w:color w:val="auto"/>
          <w:sz w:val="21"/>
          <w:szCs w:val="21"/>
        </w:rPr>
      </w:pPr>
      <w:bookmarkStart w:id="12" w:name="_Toc21862"/>
      <w:r>
        <w:rPr>
          <w:rFonts w:hint="eastAsia" w:ascii="黑体" w:hAnsi="黑体" w:eastAsia="黑体" w:cs="黑体"/>
          <w:color w:val="auto"/>
          <w:sz w:val="21"/>
          <w:szCs w:val="21"/>
        </w:rPr>
        <w:t>建设基本原则</w:t>
      </w:r>
      <w:bookmarkEnd w:id="12"/>
    </w:p>
    <w:p w14:paraId="7B5CAE42">
      <w:pPr>
        <w:pStyle w:val="53"/>
        <w:widowControl w:val="0"/>
        <w:wordWrap w:val="0"/>
        <w:autoSpaceDE w:val="0"/>
        <w:autoSpaceDN w:val="0"/>
        <w:snapToGrid/>
        <w:ind w:leftChars="0" w:firstLine="411"/>
        <w:jc w:val="both"/>
      </w:pPr>
      <w:r>
        <w:rPr>
          <w:rFonts w:hint="eastAsia" w:ascii="宋体" w:hAnsi="宋体" w:eastAsia="宋体" w:cs="宋体"/>
          <w:sz w:val="21"/>
          <w:szCs w:val="21"/>
        </w:rPr>
        <w:t>园区建设应遵循以下原则：</w:t>
      </w:r>
    </w:p>
    <w:p w14:paraId="2444F094">
      <w:pPr>
        <w:widowControl w:val="0"/>
        <w:numPr>
          <w:ilvl w:val="0"/>
          <w:numId w:val="3"/>
        </w:numPr>
        <w:wordWrap w:val="0"/>
        <w:autoSpaceDE w:val="0"/>
        <w:autoSpaceDN w:val="0"/>
        <w:snapToGrid/>
        <w:spacing w:line="240" w:lineRule="auto"/>
        <w:ind w:left="840" w:leftChars="0" w:hanging="420"/>
        <w:jc w:val="both"/>
        <w:rPr>
          <w:color w:val="auto"/>
        </w:rPr>
      </w:pPr>
      <w:r>
        <w:rPr>
          <w:rFonts w:hint="eastAsia" w:ascii="宋体" w:hAnsi="宋体" w:eastAsia="宋体" w:cs="宋体"/>
          <w:color w:val="auto"/>
          <w:sz w:val="21"/>
          <w:szCs w:val="21"/>
        </w:rPr>
        <w:t>战略协同：应符合国家及区域发展战略</w:t>
      </w:r>
      <w:r>
        <w:rPr>
          <w:rFonts w:hint="eastAsia" w:ascii="宋体" w:hAnsi="宋体" w:eastAsia="宋体" w:cs="宋体"/>
          <w:color w:val="auto"/>
          <w:sz w:val="21"/>
          <w:szCs w:val="21"/>
          <w:lang w:eastAsia="zh-CN"/>
        </w:rPr>
        <w:t>、物流规划</w:t>
      </w:r>
      <w:r>
        <w:rPr>
          <w:rFonts w:hint="eastAsia" w:ascii="宋体" w:hAnsi="宋体" w:eastAsia="宋体" w:cs="宋体"/>
          <w:color w:val="auto"/>
          <w:sz w:val="21"/>
          <w:szCs w:val="21"/>
        </w:rPr>
        <w:t>，与国土空间规划、综合交通规划等相衔接。</w:t>
      </w:r>
    </w:p>
    <w:p w14:paraId="1E912BD3">
      <w:pPr>
        <w:widowControl w:val="0"/>
        <w:numPr>
          <w:ilvl w:val="0"/>
          <w:numId w:val="3"/>
        </w:numPr>
        <w:wordWrap w:val="0"/>
        <w:autoSpaceDE w:val="0"/>
        <w:autoSpaceDN w:val="0"/>
        <w:snapToGrid/>
        <w:spacing w:line="240" w:lineRule="auto"/>
        <w:ind w:left="840" w:leftChars="0" w:hanging="420"/>
        <w:jc w:val="both"/>
        <w:rPr>
          <w:color w:val="auto"/>
        </w:rPr>
      </w:pPr>
      <w:r>
        <w:rPr>
          <w:rFonts w:hint="eastAsia" w:ascii="宋体" w:hAnsi="宋体" w:eastAsia="宋体" w:cs="宋体"/>
          <w:color w:val="auto"/>
          <w:sz w:val="21"/>
          <w:szCs w:val="21"/>
        </w:rPr>
        <w:t>功能集成：应统筹规划物流服务、公共配套、应急保障等功能，促进资源集约利用。</w:t>
      </w:r>
    </w:p>
    <w:p w14:paraId="15773795">
      <w:pPr>
        <w:widowControl w:val="0"/>
        <w:numPr>
          <w:ilvl w:val="0"/>
          <w:numId w:val="3"/>
        </w:numPr>
        <w:wordWrap w:val="0"/>
        <w:autoSpaceDE w:val="0"/>
        <w:autoSpaceDN w:val="0"/>
        <w:snapToGrid/>
        <w:spacing w:line="240" w:lineRule="auto"/>
        <w:ind w:left="840" w:leftChars="0" w:hanging="420"/>
        <w:jc w:val="both"/>
        <w:rPr>
          <w:color w:val="auto"/>
        </w:rPr>
      </w:pPr>
      <w:r>
        <w:rPr>
          <w:rFonts w:hint="eastAsia" w:ascii="宋体" w:hAnsi="宋体" w:eastAsia="宋体" w:cs="宋体"/>
          <w:color w:val="auto"/>
          <w:sz w:val="21"/>
          <w:szCs w:val="21"/>
        </w:rPr>
        <w:t>智慧绿色：应采用绿色建筑与节能技术，集成应用物联网、大数据等信息技术，建设智慧化、低碳化园区。</w:t>
      </w:r>
    </w:p>
    <w:p w14:paraId="1B1C607E">
      <w:pPr>
        <w:widowControl w:val="0"/>
        <w:numPr>
          <w:ilvl w:val="0"/>
          <w:numId w:val="3"/>
        </w:numPr>
        <w:wordWrap w:val="0"/>
        <w:autoSpaceDE w:val="0"/>
        <w:autoSpaceDN w:val="0"/>
        <w:snapToGrid/>
        <w:spacing w:line="240" w:lineRule="auto"/>
        <w:ind w:left="840" w:leftChars="0" w:hanging="420"/>
        <w:jc w:val="both"/>
        <w:rPr>
          <w:color w:val="auto"/>
        </w:rPr>
      </w:pPr>
      <w:r>
        <w:rPr>
          <w:rFonts w:hint="eastAsia" w:ascii="宋体" w:hAnsi="宋体" w:eastAsia="宋体" w:cs="宋体"/>
          <w:color w:val="auto"/>
          <w:sz w:val="21"/>
          <w:szCs w:val="21"/>
        </w:rPr>
        <w:t>开放兼容：园区基础设施和信息平台应具备开放性和扩展性，支持与外部枢纽、网络的高效对接。</w:t>
      </w:r>
    </w:p>
    <w:p w14:paraId="5723CBB7">
      <w:pPr>
        <w:widowControl w:val="0"/>
        <w:numPr>
          <w:ilvl w:val="0"/>
          <w:numId w:val="3"/>
        </w:numPr>
        <w:wordWrap w:val="0"/>
        <w:autoSpaceDE w:val="0"/>
        <w:autoSpaceDN w:val="0"/>
        <w:snapToGrid/>
        <w:spacing w:line="240" w:lineRule="auto"/>
        <w:ind w:left="840" w:leftChars="0" w:hanging="420"/>
        <w:jc w:val="both"/>
      </w:pPr>
      <w:r>
        <w:rPr>
          <w:rFonts w:hint="eastAsia" w:ascii="宋体" w:hAnsi="宋体" w:eastAsia="宋体" w:cs="宋体"/>
          <w:color w:val="auto"/>
          <w:sz w:val="21"/>
          <w:szCs w:val="21"/>
        </w:rPr>
        <w:t>安全韧性：应</w:t>
      </w:r>
      <w:r>
        <w:rPr>
          <w:rFonts w:hint="eastAsia" w:ascii="宋体" w:hAnsi="宋体" w:eastAsia="宋体" w:cs="宋体"/>
          <w:sz w:val="21"/>
          <w:szCs w:val="21"/>
        </w:rPr>
        <w:t>满足安全生产、消防安全等要求，提升园区应急保障能力。</w:t>
      </w:r>
    </w:p>
    <w:p w14:paraId="1C573314">
      <w:pPr>
        <w:pStyle w:val="54"/>
        <w:keepNext w:val="0"/>
        <w:keepLines w:val="0"/>
        <w:pageBreakBefore w:val="0"/>
        <w:widowControl w:val="0"/>
        <w:numPr>
          <w:ilvl w:val="0"/>
          <w:numId w:val="2"/>
        </w:numPr>
        <w:kinsoku/>
        <w:wordWrap w:val="0"/>
        <w:overflowPunct/>
        <w:topLinePunct w:val="0"/>
        <w:autoSpaceDE w:val="0"/>
        <w:autoSpaceDN w:val="0"/>
        <w:bidi w:val="0"/>
        <w:adjustRightInd/>
        <w:snapToGrid w:val="0"/>
        <w:spacing w:before="313" w:beforeLines="100"/>
        <w:jc w:val="both"/>
        <w:textAlignment w:val="auto"/>
        <w:outlineLvl w:val="0"/>
        <w:rPr>
          <w:rFonts w:hint="eastAsia" w:ascii="黑体" w:hAnsi="黑体" w:eastAsia="黑体" w:cs="黑体"/>
          <w:sz w:val="21"/>
          <w:szCs w:val="21"/>
        </w:rPr>
      </w:pPr>
      <w:bookmarkStart w:id="13" w:name="_Toc13503"/>
      <w:r>
        <w:rPr>
          <w:rFonts w:hint="eastAsia" w:cs="黑体"/>
          <w:sz w:val="21"/>
          <w:szCs w:val="21"/>
          <w:lang w:eastAsia="zh-CN"/>
        </w:rPr>
        <w:t>总体</w:t>
      </w:r>
      <w:r>
        <w:rPr>
          <w:rFonts w:hint="eastAsia" w:ascii="黑体" w:hAnsi="黑体" w:eastAsia="黑体" w:cs="黑体"/>
          <w:sz w:val="21"/>
          <w:szCs w:val="21"/>
        </w:rPr>
        <w:t>规划</w:t>
      </w:r>
      <w:bookmarkEnd w:id="13"/>
    </w:p>
    <w:p w14:paraId="757A8F43">
      <w:pPr>
        <w:pStyle w:val="57"/>
        <w:widowControl w:val="0"/>
        <w:numPr>
          <w:ilvl w:val="1"/>
          <w:numId w:val="2"/>
        </w:numPr>
        <w:wordWrap w:val="0"/>
        <w:autoSpaceDE w:val="0"/>
        <w:autoSpaceDN w:val="0"/>
        <w:snapToGrid w:val="0"/>
        <w:jc w:val="both"/>
        <w:outlineLvl w:val="1"/>
      </w:pPr>
      <w:bookmarkStart w:id="14" w:name="_Toc29177"/>
      <w:bookmarkStart w:id="15" w:name="_Toc14606"/>
      <w:r>
        <w:rPr>
          <w:rFonts w:hint="eastAsia" w:ascii="黑体" w:hAnsi="黑体" w:eastAsia="黑体" w:cs="黑体"/>
          <w:sz w:val="21"/>
          <w:szCs w:val="21"/>
        </w:rPr>
        <w:t>选址要求</w:t>
      </w:r>
      <w:bookmarkEnd w:id="14"/>
      <w:bookmarkEnd w:id="15"/>
    </w:p>
    <w:p w14:paraId="47064232">
      <w:pPr>
        <w:pStyle w:val="58"/>
        <w:widowControl w:val="0"/>
        <w:numPr>
          <w:ilvl w:val="2"/>
          <w:numId w:val="2"/>
        </w:numPr>
        <w:wordWrap w:val="0"/>
        <w:autoSpaceDE w:val="0"/>
        <w:autoSpaceDN w:val="0"/>
        <w:snapToGrid/>
        <w:jc w:val="both"/>
      </w:pPr>
      <w:r>
        <w:rPr>
          <w:rFonts w:hint="eastAsia" w:ascii="宋体" w:hAnsi="宋体" w:eastAsia="宋体" w:cs="宋体"/>
          <w:sz w:val="21"/>
          <w:szCs w:val="21"/>
        </w:rPr>
        <w:t>选址应优先考虑省际交界区域、重要交通走廊节点或区域性中心城市辐射圈的边缘地带，具备服务相邻多省（市、县）的天然区位优势。</w:t>
      </w:r>
    </w:p>
    <w:p w14:paraId="5B84B2AF">
      <w:pPr>
        <w:pStyle w:val="58"/>
        <w:widowControl w:val="0"/>
        <w:numPr>
          <w:ilvl w:val="2"/>
          <w:numId w:val="2"/>
        </w:numPr>
        <w:wordWrap w:val="0"/>
        <w:autoSpaceDE w:val="0"/>
        <w:autoSpaceDN w:val="0"/>
        <w:snapToGrid/>
        <w:jc w:val="both"/>
      </w:pPr>
      <w:r>
        <w:rPr>
          <w:rFonts w:hint="eastAsia" w:ascii="宋体" w:hAnsi="宋体" w:eastAsia="宋体" w:cs="宋体"/>
          <w:sz w:val="21"/>
          <w:szCs w:val="21"/>
        </w:rPr>
        <w:t>选址宜位于国家级或区域级高速干线交汇处，并靠近铁路货运站场、港口、机场等重要交通设施，以支撑多式联运和区域集疏运功能。</w:t>
      </w:r>
    </w:p>
    <w:p w14:paraId="72D7684F">
      <w:pPr>
        <w:pStyle w:val="58"/>
        <w:widowControl w:val="0"/>
        <w:numPr>
          <w:ilvl w:val="2"/>
          <w:numId w:val="2"/>
        </w:numPr>
        <w:wordWrap w:val="0"/>
        <w:autoSpaceDE w:val="0"/>
        <w:autoSpaceDN w:val="0"/>
        <w:snapToGrid/>
        <w:jc w:val="both"/>
      </w:pPr>
      <w:r>
        <w:rPr>
          <w:rFonts w:hint="eastAsia" w:ascii="宋体" w:hAnsi="宋体" w:eastAsia="宋体" w:cs="宋体"/>
          <w:sz w:val="21"/>
          <w:szCs w:val="21"/>
        </w:rPr>
        <w:t>选址应符合所在地县级以上国土空间总体规划、控制性详细规划及产业发展规划，优先布局在城镇开发边界内的物流功能片区或产业园区。不</w:t>
      </w:r>
      <w:r>
        <w:rPr>
          <w:rFonts w:hint="eastAsia" w:cs="宋体"/>
          <w:sz w:val="21"/>
          <w:szCs w:val="21"/>
          <w:lang w:eastAsia="zh-CN"/>
        </w:rPr>
        <w:t>应</w:t>
      </w:r>
      <w:r>
        <w:rPr>
          <w:rFonts w:hint="eastAsia" w:ascii="宋体" w:hAnsi="宋体" w:eastAsia="宋体" w:cs="宋体"/>
          <w:sz w:val="21"/>
          <w:szCs w:val="21"/>
        </w:rPr>
        <w:t>占用永久基本农田和生态保护红线，并避让地质灾害高风险区、洪水淹没区等不适宜建设区域。</w:t>
      </w:r>
    </w:p>
    <w:p w14:paraId="595605C3">
      <w:pPr>
        <w:pStyle w:val="58"/>
        <w:widowControl w:val="0"/>
        <w:numPr>
          <w:ilvl w:val="2"/>
          <w:numId w:val="2"/>
        </w:numPr>
        <w:wordWrap w:val="0"/>
        <w:autoSpaceDE w:val="0"/>
        <w:autoSpaceDN w:val="0"/>
        <w:snapToGrid/>
        <w:jc w:val="both"/>
      </w:pPr>
      <w:r>
        <w:rPr>
          <w:rFonts w:hint="eastAsia" w:ascii="宋体" w:hAnsi="宋体" w:eastAsia="宋体" w:cs="宋体"/>
          <w:sz w:val="21"/>
          <w:szCs w:val="21"/>
        </w:rPr>
        <w:t>所选地块应具备良好的地形地貌和工程地质条件，宜选择地势相对平缓、高差适宜、利于场地平整和土方平衡的区域。应充分考虑现有高压电力线、油气管线等重大基础设施的防护距离和安全要求，确保布局建设不受影响。</w:t>
      </w:r>
    </w:p>
    <w:p w14:paraId="00F74E96">
      <w:pPr>
        <w:pStyle w:val="58"/>
        <w:widowControl w:val="0"/>
        <w:numPr>
          <w:ilvl w:val="2"/>
          <w:numId w:val="2"/>
        </w:numPr>
        <w:wordWrap w:val="0"/>
        <w:autoSpaceDE w:val="0"/>
        <w:autoSpaceDN w:val="0"/>
        <w:snapToGrid/>
        <w:jc w:val="both"/>
      </w:pPr>
      <w:r>
        <w:rPr>
          <w:rFonts w:hint="eastAsia" w:ascii="宋体" w:hAnsi="宋体" w:eastAsia="宋体" w:cs="宋体"/>
          <w:sz w:val="21"/>
          <w:szCs w:val="21"/>
        </w:rPr>
        <w:t>选址应评估周边现有及规划的物流、商贸设施分布，避免同质化恶性竞争。宜依托现有产业基础、货源生成地和消费市场，有效整合、提升区域现有分散、低效的物流资源。</w:t>
      </w:r>
    </w:p>
    <w:p w14:paraId="4576E83E">
      <w:pPr>
        <w:pStyle w:val="58"/>
        <w:widowControl w:val="0"/>
        <w:numPr>
          <w:ilvl w:val="2"/>
          <w:numId w:val="2"/>
        </w:numPr>
        <w:wordWrap w:val="0"/>
        <w:autoSpaceDE w:val="0"/>
        <w:autoSpaceDN w:val="0"/>
        <w:snapToGrid/>
        <w:jc w:val="both"/>
      </w:pPr>
      <w:r>
        <w:rPr>
          <w:rFonts w:hint="eastAsia" w:ascii="宋体" w:hAnsi="宋体" w:eastAsia="宋体" w:cs="宋体"/>
          <w:sz w:val="21"/>
          <w:szCs w:val="21"/>
        </w:rPr>
        <w:t>选址应具备可扩展性，预留远期发展空间。</w:t>
      </w:r>
    </w:p>
    <w:p w14:paraId="370120CD">
      <w:pPr>
        <w:pStyle w:val="57"/>
        <w:widowControl w:val="0"/>
        <w:numPr>
          <w:ilvl w:val="1"/>
          <w:numId w:val="2"/>
        </w:numPr>
        <w:wordWrap w:val="0"/>
        <w:autoSpaceDE w:val="0"/>
        <w:autoSpaceDN w:val="0"/>
        <w:snapToGrid w:val="0"/>
        <w:jc w:val="both"/>
        <w:outlineLvl w:val="1"/>
        <w:rPr>
          <w:color w:val="auto"/>
        </w:rPr>
      </w:pPr>
      <w:bookmarkStart w:id="16" w:name="_Toc17640"/>
      <w:bookmarkStart w:id="17" w:name="_Toc98bc2f0a-209a-4d7d-b11c-c9155b099243"/>
      <w:bookmarkStart w:id="18" w:name="_Toc4863"/>
      <w:r>
        <w:rPr>
          <w:rFonts w:hint="eastAsia" w:ascii="黑体" w:hAnsi="黑体" w:eastAsia="黑体" w:cs="黑体"/>
          <w:color w:val="auto"/>
          <w:sz w:val="21"/>
          <w:szCs w:val="21"/>
        </w:rPr>
        <w:t>交通组织</w:t>
      </w:r>
      <w:bookmarkEnd w:id="16"/>
      <w:bookmarkEnd w:id="17"/>
      <w:bookmarkEnd w:id="18"/>
    </w:p>
    <w:p w14:paraId="6F05FF7E">
      <w:pPr>
        <w:pStyle w:val="58"/>
        <w:widowControl w:val="0"/>
        <w:numPr>
          <w:ilvl w:val="2"/>
          <w:numId w:val="2"/>
        </w:numPr>
        <w:wordWrap w:val="0"/>
        <w:autoSpaceDE w:val="0"/>
        <w:autoSpaceDN w:val="0"/>
        <w:snapToGrid/>
        <w:jc w:val="both"/>
      </w:pPr>
      <w:r>
        <w:rPr>
          <w:rFonts w:hint="eastAsia" w:ascii="宋体" w:hAnsi="宋体" w:eastAsia="宋体" w:cs="宋体"/>
          <w:sz w:val="21"/>
          <w:szCs w:val="21"/>
        </w:rPr>
        <w:t>园区道路系统应与对外高等级公路、城市主干道高效衔接，形成层级清晰、功能明确的内部路网。明确主干道、次干道及支路的宽度与功能定位，以满足不同车型和交通流的需求。</w:t>
      </w:r>
    </w:p>
    <w:p w14:paraId="59FFEFB4">
      <w:pPr>
        <w:pStyle w:val="58"/>
        <w:widowControl w:val="0"/>
        <w:numPr>
          <w:ilvl w:val="2"/>
          <w:numId w:val="2"/>
        </w:numPr>
        <w:wordWrap w:val="0"/>
        <w:autoSpaceDE w:val="0"/>
        <w:autoSpaceDN w:val="0"/>
        <w:snapToGrid/>
        <w:jc w:val="both"/>
      </w:pPr>
      <w:r>
        <w:rPr>
          <w:rFonts w:hint="eastAsia" w:ascii="宋体" w:hAnsi="宋体" w:eastAsia="宋体" w:cs="宋体"/>
          <w:sz w:val="21"/>
          <w:szCs w:val="21"/>
        </w:rPr>
        <w:t>园区主要货运干道的规划宽度应根据预测的远期高峰小时交通量进行科学论证，设计合理的车道数量，确保通行能力，并设置必要的中央分隔带及两侧防护绿地。</w:t>
      </w:r>
    </w:p>
    <w:p w14:paraId="41C937D1">
      <w:pPr>
        <w:pStyle w:val="58"/>
        <w:widowControl w:val="0"/>
        <w:numPr>
          <w:ilvl w:val="2"/>
          <w:numId w:val="2"/>
        </w:numPr>
        <w:wordWrap w:val="0"/>
        <w:autoSpaceDE w:val="0"/>
        <w:autoSpaceDN w:val="0"/>
        <w:snapToGrid/>
        <w:jc w:val="both"/>
        <w:rPr>
          <w:rFonts w:hint="eastAsia" w:ascii="宋体" w:hAnsi="宋体" w:eastAsia="宋体" w:cs="宋体"/>
          <w:sz w:val="21"/>
          <w:szCs w:val="21"/>
        </w:rPr>
      </w:pPr>
      <w:r>
        <w:rPr>
          <w:rFonts w:hint="eastAsia" w:ascii="宋体" w:hAnsi="宋体" w:eastAsia="宋体" w:cs="宋体"/>
          <w:sz w:val="21"/>
          <w:szCs w:val="21"/>
        </w:rPr>
        <w:t>交通组织应实行“客货分流、快慢分离”。主要客运及形象入口宜设置在连接城市生活区的主干道交叉口，并设置信号灯控制。主要货运通道应尽量利用次干道和支路系统，在关键节点可设置“右进右出”的交通组织方式，以减少对城市主干道的干扰。</w:t>
      </w:r>
    </w:p>
    <w:p w14:paraId="271E5B9B">
      <w:pPr>
        <w:pStyle w:val="58"/>
        <w:widowControl w:val="0"/>
        <w:numPr>
          <w:ilvl w:val="2"/>
          <w:numId w:val="2"/>
        </w:numPr>
        <w:wordWrap w:val="0"/>
        <w:autoSpaceDE w:val="0"/>
        <w:autoSpaceDN w:val="0"/>
        <w:snapToGrid/>
        <w:jc w:val="both"/>
        <w:rPr>
          <w:rFonts w:hint="eastAsia" w:ascii="宋体" w:hAnsi="宋体" w:eastAsia="宋体" w:cs="宋体"/>
          <w:sz w:val="21"/>
          <w:szCs w:val="21"/>
        </w:rPr>
      </w:pPr>
      <w:r>
        <w:rPr>
          <w:rFonts w:hint="eastAsia" w:ascii="宋体" w:hAnsi="宋体" w:eastAsia="宋体" w:cs="宋体"/>
          <w:sz w:val="21"/>
          <w:szCs w:val="21"/>
        </w:rPr>
        <w:t>应结合园区功能分区和建筑布局，系统规划静态交通设施。在商贸区、办公区等人员密集区域主要设</w:t>
      </w:r>
      <w:r>
        <w:rPr>
          <w:rFonts w:hint="eastAsia" w:ascii="宋体" w:hAnsi="宋体" w:eastAsia="宋体" w:cs="宋体"/>
          <w:sz w:val="21"/>
          <w:szCs w:val="21"/>
        </w:rPr>
        <w:t>置小汽车停车场，在物流作业区应集中设置大型货车停车场和充足的装卸泊位，可在园区外围</w:t>
      </w:r>
      <w:r>
        <w:rPr>
          <w:rFonts w:hint="eastAsia" w:ascii="宋体" w:hAnsi="宋体" w:eastAsia="宋体" w:cs="宋体"/>
          <w:sz w:val="21"/>
          <w:szCs w:val="21"/>
          <w:lang w:eastAsia="zh-CN"/>
        </w:rPr>
        <w:t>临</w:t>
      </w:r>
      <w:r>
        <w:rPr>
          <w:rFonts w:hint="eastAsia" w:ascii="宋体" w:hAnsi="宋体" w:eastAsia="宋体" w:cs="宋体"/>
          <w:sz w:val="21"/>
          <w:szCs w:val="21"/>
        </w:rPr>
        <w:t>近主要货运通道处规划社会停车场（含货车停车位），服务临时停放和接驳需求。</w:t>
      </w:r>
    </w:p>
    <w:p w14:paraId="59482C6E">
      <w:pPr>
        <w:pStyle w:val="58"/>
        <w:widowControl w:val="0"/>
        <w:numPr>
          <w:ilvl w:val="2"/>
          <w:numId w:val="2"/>
        </w:numPr>
        <w:wordWrap w:val="0"/>
        <w:autoSpaceDE w:val="0"/>
        <w:autoSpaceDN w:val="0"/>
        <w:snapToGrid/>
        <w:jc w:val="both"/>
        <w:rPr>
          <w:rFonts w:hint="eastAsia" w:ascii="宋体" w:hAnsi="宋体" w:eastAsia="宋体" w:cs="宋体"/>
          <w:sz w:val="21"/>
          <w:szCs w:val="21"/>
        </w:rPr>
      </w:pPr>
      <w:r>
        <w:rPr>
          <w:rFonts w:hint="eastAsia" w:ascii="宋体" w:hAnsi="宋体" w:eastAsia="宋体" w:cs="宋体"/>
          <w:sz w:val="21"/>
          <w:szCs w:val="21"/>
        </w:rPr>
        <w:t>应制定分时段交通管理方案，应对日间与夜间不同的</w:t>
      </w:r>
      <w:r>
        <w:rPr>
          <w:rFonts w:hint="eastAsia" w:ascii="宋体" w:hAnsi="宋体" w:eastAsia="宋体" w:cs="宋体"/>
          <w:sz w:val="21"/>
          <w:szCs w:val="21"/>
        </w:rPr>
        <w:t>交通流特征。</w:t>
      </w:r>
    </w:p>
    <w:p w14:paraId="19F552F0">
      <w:pPr>
        <w:pStyle w:val="58"/>
        <w:widowControl w:val="0"/>
        <w:numPr>
          <w:ilvl w:val="2"/>
          <w:numId w:val="2"/>
        </w:numPr>
        <w:wordWrap w:val="0"/>
        <w:autoSpaceDE w:val="0"/>
        <w:autoSpaceDN w:val="0"/>
        <w:snapToGrid/>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园区内设置道路交通标志，应符合GB 5768中的规定。</w:t>
      </w:r>
    </w:p>
    <w:p w14:paraId="7E5A4C37">
      <w:pPr>
        <w:pStyle w:val="57"/>
        <w:widowControl w:val="0"/>
        <w:numPr>
          <w:ilvl w:val="1"/>
          <w:numId w:val="2"/>
        </w:numPr>
        <w:wordWrap w:val="0"/>
        <w:autoSpaceDE w:val="0"/>
        <w:autoSpaceDN w:val="0"/>
        <w:snapToGrid w:val="0"/>
        <w:jc w:val="both"/>
        <w:outlineLvl w:val="1"/>
        <w:rPr>
          <w:rFonts w:hint="eastAsia" w:ascii="黑体" w:hAnsi="黑体" w:eastAsia="黑体" w:cs="黑体"/>
          <w:color w:val="auto"/>
          <w:sz w:val="21"/>
          <w:szCs w:val="21"/>
          <w:lang w:val="en-US" w:eastAsia="zh-CN"/>
        </w:rPr>
      </w:pPr>
      <w:bookmarkStart w:id="19" w:name="_Toc9918"/>
      <w:r>
        <w:rPr>
          <w:rFonts w:hint="eastAsia" w:cs="黑体"/>
          <w:color w:val="auto"/>
          <w:sz w:val="21"/>
          <w:szCs w:val="21"/>
          <w:lang w:val="en-US" w:eastAsia="zh-CN"/>
        </w:rPr>
        <w:t>功能分区</w:t>
      </w:r>
      <w:bookmarkEnd w:id="19"/>
    </w:p>
    <w:p w14:paraId="077322F5">
      <w:pPr>
        <w:pStyle w:val="72"/>
        <w:numPr>
          <w:ilvl w:val="3"/>
          <w:numId w:val="0"/>
        </w:numPr>
        <w:spacing w:before="156" w:after="156"/>
        <w:jc w:val="left"/>
        <w:rPr>
          <w:rFonts w:hint="eastAsia"/>
          <w:color w:val="auto"/>
          <w:lang w:val="en-US" w:eastAsia="zh-CN"/>
        </w:rPr>
      </w:pPr>
      <w:bookmarkStart w:id="20" w:name="_Toc17471"/>
      <w:r>
        <w:rPr>
          <w:rFonts w:hint="eastAsia"/>
          <w:color w:val="auto"/>
          <w:lang w:val="en-US" w:eastAsia="zh-CN"/>
        </w:rPr>
        <w:t>5.3.1一般规定</w:t>
      </w:r>
      <w:bookmarkEnd w:id="20"/>
    </w:p>
    <w:p w14:paraId="63724A6D">
      <w:pPr>
        <w:pStyle w:val="73"/>
        <w:spacing w:before="0" w:beforeLines="0" w:after="0" w:afterLines="0"/>
        <w:rPr>
          <w:rFonts w:hint="eastAsia"/>
          <w:color w:val="auto"/>
          <w:lang w:val="en-US" w:eastAsia="zh-CN"/>
        </w:rPr>
      </w:pPr>
      <w:r>
        <w:rPr>
          <w:rFonts w:hint="eastAsia"/>
          <w:color w:val="auto"/>
          <w:lang w:val="en-US" w:eastAsia="zh-CN"/>
        </w:rPr>
        <w:t xml:space="preserve">5.3.1.1 </w:t>
      </w:r>
      <w:r>
        <w:rPr>
          <w:rFonts w:hint="eastAsia" w:ascii="宋体" w:hAnsi="宋体" w:eastAsia="宋体"/>
          <w:color w:val="auto"/>
          <w:lang w:val="en-US" w:eastAsia="zh-CN"/>
        </w:rPr>
        <w:t>园区功能分区应遵循集约用地、流程优化、客货分离、绿色低碳的原则进行科学划分，功能区规划符合</w:t>
      </w:r>
      <w:r>
        <w:rPr>
          <w:rFonts w:hint="eastAsia" w:ascii="宋体" w:hAnsi="宋体" w:eastAsia="宋体"/>
          <w:color w:val="auto"/>
        </w:rPr>
        <w:t>GB/T 21334</w:t>
      </w:r>
      <w:r>
        <w:rPr>
          <w:rFonts w:hint="eastAsia" w:ascii="宋体" w:hAnsi="宋体" w:eastAsia="宋体"/>
          <w:color w:val="auto"/>
          <w:lang w:eastAsia="zh-CN"/>
        </w:rPr>
        <w:t>的</w:t>
      </w:r>
      <w:r>
        <w:rPr>
          <w:rFonts w:hint="eastAsia" w:ascii="宋体" w:hAnsi="宋体" w:eastAsia="宋体"/>
          <w:color w:val="auto"/>
          <w:lang w:val="en-US" w:eastAsia="zh-CN"/>
        </w:rPr>
        <w:t>规定。</w:t>
      </w:r>
    </w:p>
    <w:p w14:paraId="108C034B">
      <w:pPr>
        <w:pStyle w:val="73"/>
        <w:spacing w:before="0" w:beforeLines="0" w:after="0" w:afterLines="0"/>
        <w:rPr>
          <w:rFonts w:hint="eastAsia"/>
          <w:color w:val="auto"/>
          <w:lang w:val="en-US" w:eastAsia="zh-CN"/>
        </w:rPr>
      </w:pPr>
      <w:r>
        <w:rPr>
          <w:rFonts w:hint="eastAsia"/>
          <w:color w:val="auto"/>
          <w:lang w:val="en-US" w:eastAsia="zh-CN"/>
        </w:rPr>
        <w:t xml:space="preserve">5.3.1.2 </w:t>
      </w:r>
      <w:r>
        <w:rPr>
          <w:rFonts w:hint="eastAsia" w:ascii="宋体" w:hAnsi="宋体" w:eastAsia="宋体"/>
          <w:color w:val="auto"/>
          <w:lang w:val="en-US" w:eastAsia="zh-CN"/>
        </w:rPr>
        <w:t>各功能区之间应通过内部道路系统高效衔接，避免物流动线迂回与交叉干扰，确保作业流程顺畅。</w:t>
      </w:r>
    </w:p>
    <w:p w14:paraId="6F9C3299">
      <w:pPr>
        <w:pStyle w:val="73"/>
        <w:spacing w:before="0" w:beforeLines="0" w:after="0" w:afterLines="0"/>
        <w:rPr>
          <w:rFonts w:hint="eastAsia"/>
          <w:color w:val="auto"/>
          <w:lang w:val="en-US" w:eastAsia="zh-CN"/>
        </w:rPr>
      </w:pPr>
      <w:r>
        <w:rPr>
          <w:rFonts w:hint="eastAsia"/>
          <w:color w:val="auto"/>
          <w:lang w:val="en-US" w:eastAsia="zh-CN"/>
        </w:rPr>
        <w:t xml:space="preserve">5.3.1.3 </w:t>
      </w:r>
      <w:r>
        <w:rPr>
          <w:rFonts w:hint="eastAsia" w:ascii="宋体" w:hAnsi="宋体" w:eastAsia="宋体"/>
          <w:color w:val="auto"/>
          <w:lang w:val="en-US" w:eastAsia="zh-CN"/>
        </w:rPr>
        <w:t>园区应合理确定各功能区的用地比例，物流运营面积占比不应低于50%。</w:t>
      </w:r>
    </w:p>
    <w:p w14:paraId="43285680">
      <w:pPr>
        <w:pStyle w:val="73"/>
        <w:spacing w:before="0" w:beforeLines="0" w:after="0" w:afterLines="0"/>
        <w:rPr>
          <w:rFonts w:hint="default" w:ascii="宋体" w:hAnsi="宋体" w:eastAsia="宋体"/>
          <w:color w:val="auto"/>
          <w:lang w:val="en-US" w:eastAsia="zh-CN"/>
        </w:rPr>
      </w:pPr>
      <w:r>
        <w:rPr>
          <w:rFonts w:hint="eastAsia" w:hAnsi="Times New Roman" w:cs="Times New Roman"/>
          <w:color w:val="auto"/>
          <w:lang w:val="en-US" w:eastAsia="zh-CN"/>
        </w:rPr>
        <w:t xml:space="preserve">5.3.1.4 </w:t>
      </w:r>
      <w:r>
        <w:rPr>
          <w:rFonts w:hint="eastAsia" w:ascii="宋体" w:hAnsi="宋体" w:eastAsia="宋体"/>
          <w:color w:val="auto"/>
          <w:lang w:val="en-US" w:eastAsia="zh-CN"/>
        </w:rPr>
        <w:t>园区功能区配套设施符合本文件第6章的要求。</w:t>
      </w:r>
    </w:p>
    <w:p w14:paraId="17027CB3">
      <w:pPr>
        <w:pStyle w:val="72"/>
        <w:numPr>
          <w:ilvl w:val="3"/>
          <w:numId w:val="0"/>
        </w:numPr>
        <w:spacing w:before="156" w:after="156"/>
        <w:jc w:val="left"/>
        <w:rPr>
          <w:rFonts w:hint="eastAsia" w:hAnsi="Times New Roman" w:cs="Times New Roman"/>
          <w:color w:val="auto"/>
          <w:lang w:val="en-US" w:eastAsia="zh-CN"/>
        </w:rPr>
      </w:pPr>
      <w:bookmarkStart w:id="21" w:name="_Toc26928"/>
      <w:r>
        <w:rPr>
          <w:rFonts w:hint="eastAsia" w:hAnsi="Times New Roman" w:cs="Times New Roman"/>
          <w:color w:val="auto"/>
          <w:lang w:val="en-US" w:eastAsia="zh-CN"/>
        </w:rPr>
        <w:t>5.3.2 商贸服务与交易功能区</w:t>
      </w:r>
      <w:bookmarkEnd w:id="21"/>
    </w:p>
    <w:p w14:paraId="7E8DCCF4">
      <w:pPr>
        <w:pStyle w:val="73"/>
        <w:spacing w:before="0" w:beforeLines="0" w:after="0" w:afterLines="0"/>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园区应规划设置商贸服务与商品交易中心，宜布局在靠近园区主出入口或城市交通便捷的区域，以方便人流集散与商务交流。</w:t>
      </w:r>
    </w:p>
    <w:p w14:paraId="526A5E5A">
      <w:pPr>
        <w:pStyle w:val="72"/>
        <w:numPr>
          <w:ilvl w:val="3"/>
          <w:numId w:val="0"/>
        </w:numPr>
        <w:spacing w:before="156" w:after="156"/>
        <w:jc w:val="left"/>
        <w:rPr>
          <w:rFonts w:hint="eastAsia" w:hAnsi="Times New Roman" w:cs="Times New Roman"/>
          <w:color w:val="auto"/>
          <w:lang w:val="en-US" w:eastAsia="zh-CN"/>
        </w:rPr>
      </w:pPr>
      <w:bookmarkStart w:id="22" w:name="_Toc10989"/>
      <w:r>
        <w:rPr>
          <w:rFonts w:hint="eastAsia" w:hAnsi="Times New Roman" w:cs="Times New Roman"/>
          <w:color w:val="auto"/>
          <w:lang w:val="en-US" w:eastAsia="zh-CN"/>
        </w:rPr>
        <w:t>5.3.3 零担快运与集散功能区</w:t>
      </w:r>
      <w:bookmarkEnd w:id="22"/>
    </w:p>
    <w:p w14:paraId="662692C7">
      <w:pPr>
        <w:pStyle w:val="58"/>
        <w:widowControl w:val="0"/>
        <w:numPr>
          <w:ilvl w:val="0"/>
          <w:numId w:val="0"/>
        </w:numPr>
        <w:wordWrap w:val="0"/>
        <w:autoSpaceDE w:val="0"/>
        <w:autoSpaceDN w:val="0"/>
        <w:snapToGrid/>
        <w:spacing w:before="0" w:beforeLines="0" w:after="0" w:afterLines="0"/>
        <w:jc w:val="both"/>
        <w:rPr>
          <w:rFonts w:hint="eastAsia" w:ascii="宋体" w:hAnsi="宋体" w:eastAsia="宋体" w:cs="Times New Roman"/>
          <w:color w:val="auto"/>
          <w:sz w:val="21"/>
          <w:szCs w:val="21"/>
          <w:lang w:val="en-US" w:eastAsia="zh-CN" w:bidi="ar-SA"/>
        </w:rPr>
      </w:pPr>
      <w:r>
        <w:rPr>
          <w:rFonts w:hint="eastAsia" w:ascii="黑体" w:hAnsi="Times New Roman" w:eastAsia="黑体" w:cs="Times New Roman"/>
          <w:color w:val="auto"/>
          <w:sz w:val="21"/>
          <w:szCs w:val="21"/>
          <w:lang w:val="en-US" w:eastAsia="zh-CN" w:bidi="ar-SA"/>
        </w:rPr>
        <w:t>5.3.3.1</w:t>
      </w:r>
      <w:r>
        <w:rPr>
          <w:rFonts w:hint="eastAsia" w:hAnsi="Times New Roman" w:cs="Times New Roman"/>
          <w:color w:val="auto"/>
          <w:lang w:val="en-US" w:eastAsia="zh-CN"/>
        </w:rPr>
        <w:t xml:space="preserve"> </w:t>
      </w:r>
      <w:r>
        <w:rPr>
          <w:rFonts w:hint="eastAsia" w:ascii="宋体" w:hAnsi="宋体" w:eastAsia="宋体" w:cs="Times New Roman"/>
          <w:color w:val="auto"/>
          <w:sz w:val="21"/>
          <w:szCs w:val="21"/>
          <w:lang w:val="en-US" w:eastAsia="zh-CN" w:bidi="ar-SA"/>
        </w:rPr>
        <w:t>应设置零担快运中心，宜紧邻园区对外交通干道，并设置独立的货运出入口，减少对园区内部交通的干扰。</w:t>
      </w:r>
    </w:p>
    <w:p w14:paraId="4DF267DB">
      <w:pPr>
        <w:pStyle w:val="58"/>
        <w:widowControl w:val="0"/>
        <w:numPr>
          <w:ilvl w:val="0"/>
          <w:numId w:val="0"/>
        </w:numPr>
        <w:wordWrap w:val="0"/>
        <w:autoSpaceDE w:val="0"/>
        <w:autoSpaceDN w:val="0"/>
        <w:snapToGrid/>
        <w:spacing w:before="0" w:beforeLines="0" w:after="0" w:afterLines="0"/>
        <w:jc w:val="both"/>
        <w:rPr>
          <w:rFonts w:hint="eastAsia" w:ascii="宋体" w:hAnsi="宋体" w:eastAsia="宋体" w:cs="Times New Roman"/>
          <w:color w:val="auto"/>
          <w:sz w:val="21"/>
          <w:szCs w:val="21"/>
          <w:lang w:val="en-US" w:eastAsia="zh-CN" w:bidi="ar-SA"/>
        </w:rPr>
      </w:pPr>
      <w:r>
        <w:rPr>
          <w:rFonts w:hint="eastAsia" w:ascii="黑体" w:hAnsi="Times New Roman" w:eastAsia="黑体" w:cs="Times New Roman"/>
          <w:color w:val="auto"/>
          <w:sz w:val="21"/>
          <w:szCs w:val="21"/>
          <w:lang w:val="en-US" w:eastAsia="zh-CN" w:bidi="ar-SA"/>
        </w:rPr>
        <w:t>5.3.3.2</w:t>
      </w:r>
      <w:r>
        <w:rPr>
          <w:rFonts w:hint="eastAsia" w:hAnsi="Times New Roman" w:cs="Times New Roman"/>
          <w:color w:val="auto"/>
          <w:lang w:val="en-US" w:eastAsia="zh-CN"/>
        </w:rPr>
        <w:t xml:space="preserve"> </w:t>
      </w:r>
      <w:r>
        <w:rPr>
          <w:rFonts w:hint="eastAsia" w:ascii="宋体" w:hAnsi="宋体" w:eastAsia="宋体" w:cs="Times New Roman"/>
          <w:color w:val="auto"/>
          <w:sz w:val="21"/>
          <w:szCs w:val="21"/>
          <w:lang w:val="en-US" w:eastAsia="zh-CN" w:bidi="ar-SA"/>
        </w:rPr>
        <w:t>零担快运区应包含分拣中心、集散仓库、车辆停靠月台及货车等候区。</w:t>
      </w:r>
    </w:p>
    <w:p w14:paraId="1813F58D">
      <w:pPr>
        <w:pStyle w:val="58"/>
        <w:widowControl w:val="0"/>
        <w:numPr>
          <w:ilvl w:val="0"/>
          <w:numId w:val="0"/>
        </w:numPr>
        <w:wordWrap w:val="0"/>
        <w:autoSpaceDE w:val="0"/>
        <w:autoSpaceDN w:val="0"/>
        <w:snapToGrid/>
        <w:spacing w:before="0" w:beforeLines="0" w:after="0" w:afterLines="0"/>
        <w:jc w:val="both"/>
        <w:rPr>
          <w:rFonts w:hint="eastAsia" w:ascii="宋体" w:hAnsi="宋体" w:eastAsia="宋体" w:cs="Times New Roman"/>
          <w:color w:val="auto"/>
          <w:sz w:val="21"/>
          <w:szCs w:val="21"/>
          <w:lang w:val="en-US" w:eastAsia="zh-CN" w:bidi="ar-SA"/>
        </w:rPr>
      </w:pPr>
      <w:r>
        <w:rPr>
          <w:rFonts w:hint="eastAsia" w:ascii="黑体" w:hAnsi="Times New Roman" w:eastAsia="黑体" w:cs="Times New Roman"/>
          <w:color w:val="auto"/>
          <w:sz w:val="21"/>
          <w:szCs w:val="21"/>
          <w:lang w:val="en-US" w:eastAsia="zh-CN" w:bidi="ar-SA"/>
        </w:rPr>
        <w:t>5.3.3.3</w:t>
      </w:r>
      <w:r>
        <w:rPr>
          <w:rFonts w:hint="eastAsia" w:hAnsi="Times New Roman" w:cs="Times New Roman"/>
          <w:color w:val="auto"/>
          <w:lang w:val="en-US" w:eastAsia="zh-CN"/>
        </w:rPr>
        <w:t xml:space="preserve"> </w:t>
      </w:r>
      <w:r>
        <w:rPr>
          <w:rFonts w:hint="eastAsia" w:ascii="宋体" w:hAnsi="宋体" w:eastAsia="宋体" w:cs="Times New Roman"/>
          <w:color w:val="auto"/>
          <w:sz w:val="21"/>
          <w:szCs w:val="21"/>
          <w:lang w:val="en-US" w:eastAsia="zh-CN" w:bidi="ar-SA"/>
        </w:rPr>
        <w:t>规划设置城市配送专区，重点服务周边城市群及城乡末端网点，实现“统仓共配”与高效周转。</w:t>
      </w:r>
    </w:p>
    <w:p w14:paraId="23885DDD">
      <w:pPr>
        <w:pStyle w:val="72"/>
        <w:numPr>
          <w:ilvl w:val="3"/>
          <w:numId w:val="0"/>
        </w:numPr>
        <w:spacing w:before="156" w:after="156"/>
        <w:jc w:val="left"/>
        <w:rPr>
          <w:rFonts w:hint="eastAsia" w:hAnsi="Times New Roman" w:cs="Times New Roman"/>
          <w:color w:val="auto"/>
          <w:lang w:val="en-US" w:eastAsia="zh-CN"/>
        </w:rPr>
      </w:pPr>
      <w:bookmarkStart w:id="23" w:name="_Toc6456"/>
      <w:r>
        <w:rPr>
          <w:rFonts w:hint="eastAsia" w:hAnsi="Times New Roman" w:cs="Times New Roman"/>
          <w:color w:val="auto"/>
          <w:lang w:val="en-US" w:eastAsia="zh-CN"/>
        </w:rPr>
        <w:t>5.3.4 智慧云仓功能区</w:t>
      </w:r>
      <w:bookmarkEnd w:id="23"/>
    </w:p>
    <w:p w14:paraId="4BBBF34B">
      <w:pPr>
        <w:pStyle w:val="58"/>
        <w:widowControl w:val="0"/>
        <w:numPr>
          <w:ilvl w:val="0"/>
          <w:numId w:val="0"/>
        </w:numPr>
        <w:wordWrap w:val="0"/>
        <w:autoSpaceDE w:val="0"/>
        <w:autoSpaceDN w:val="0"/>
        <w:snapToGrid/>
        <w:spacing w:before="0" w:beforeLines="0" w:after="0" w:afterLines="0"/>
        <w:ind w:firstLine="420" w:firstLineChars="200"/>
        <w:jc w:val="both"/>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宜建设智慧云仓功能区，建筑结构荷载、层高、柱网间距应符合现代化立体仓储作业要求。</w:t>
      </w:r>
    </w:p>
    <w:p w14:paraId="0121CF2E">
      <w:pPr>
        <w:pStyle w:val="72"/>
        <w:numPr>
          <w:ilvl w:val="3"/>
          <w:numId w:val="0"/>
        </w:numPr>
        <w:spacing w:before="156" w:after="156"/>
        <w:jc w:val="left"/>
        <w:rPr>
          <w:rFonts w:hint="eastAsia" w:hAnsi="Times New Roman" w:cs="Times New Roman"/>
          <w:color w:val="auto"/>
          <w:lang w:val="en-US" w:eastAsia="zh-CN"/>
        </w:rPr>
      </w:pPr>
      <w:bookmarkStart w:id="24" w:name="_Toc9283"/>
      <w:r>
        <w:rPr>
          <w:rFonts w:hint="eastAsia" w:hAnsi="Times New Roman" w:cs="Times New Roman"/>
          <w:color w:val="auto"/>
          <w:lang w:val="en-US" w:eastAsia="zh-CN"/>
        </w:rPr>
        <w:t>5.3.5 供销冷链功能区</w:t>
      </w:r>
      <w:bookmarkEnd w:id="24"/>
    </w:p>
    <w:p w14:paraId="53C17FA4">
      <w:pPr>
        <w:pStyle w:val="58"/>
        <w:widowControl w:val="0"/>
        <w:numPr>
          <w:ilvl w:val="0"/>
          <w:numId w:val="0"/>
        </w:numPr>
        <w:wordWrap w:val="0"/>
        <w:autoSpaceDE w:val="0"/>
        <w:autoSpaceDN w:val="0"/>
        <w:snapToGrid/>
        <w:spacing w:before="0" w:beforeLines="0" w:after="0" w:afterLines="0"/>
        <w:jc w:val="both"/>
        <w:rPr>
          <w:rFonts w:hint="eastAsia" w:ascii="宋体" w:hAnsi="宋体" w:eastAsia="宋体" w:cs="Times New Roman"/>
          <w:color w:val="auto"/>
          <w:sz w:val="21"/>
          <w:szCs w:val="21"/>
          <w:lang w:val="en-US" w:eastAsia="zh-CN" w:bidi="ar-SA"/>
        </w:rPr>
      </w:pPr>
      <w:r>
        <w:rPr>
          <w:rFonts w:hint="eastAsia" w:ascii="黑体" w:hAnsi="Times New Roman" w:eastAsia="黑体" w:cs="Times New Roman"/>
          <w:color w:val="auto"/>
          <w:sz w:val="21"/>
          <w:szCs w:val="21"/>
          <w:lang w:val="en-US" w:eastAsia="zh-CN" w:bidi="ar-SA"/>
        </w:rPr>
        <w:t>5.3.5.1</w:t>
      </w:r>
      <w:r>
        <w:rPr>
          <w:rFonts w:hint="eastAsia" w:hAnsi="Times New Roman" w:cs="Times New Roman"/>
          <w:color w:val="auto"/>
          <w:lang w:val="en-US" w:eastAsia="zh-CN"/>
        </w:rPr>
        <w:t xml:space="preserve"> </w:t>
      </w:r>
      <w:r>
        <w:rPr>
          <w:rFonts w:hint="eastAsia" w:ascii="宋体" w:hAnsi="宋体" w:eastAsia="宋体" w:cs="Times New Roman"/>
          <w:color w:val="auto"/>
          <w:sz w:val="21"/>
          <w:szCs w:val="21"/>
          <w:lang w:val="en-US" w:eastAsia="zh-CN" w:bidi="ar-SA"/>
        </w:rPr>
        <w:t>应独立设置供销冷链物流中心，布局应远离热源。</w:t>
      </w:r>
    </w:p>
    <w:p w14:paraId="1DBD7FB5">
      <w:pPr>
        <w:pStyle w:val="58"/>
        <w:widowControl w:val="0"/>
        <w:numPr>
          <w:ilvl w:val="0"/>
          <w:numId w:val="0"/>
        </w:numPr>
        <w:wordWrap w:val="0"/>
        <w:autoSpaceDE w:val="0"/>
        <w:autoSpaceDN w:val="0"/>
        <w:snapToGrid/>
        <w:spacing w:before="0" w:beforeLines="0" w:after="0" w:afterLines="0"/>
        <w:jc w:val="both"/>
        <w:rPr>
          <w:rFonts w:hint="eastAsia" w:ascii="宋体" w:hAnsi="宋体" w:eastAsia="宋体" w:cs="Times New Roman"/>
          <w:color w:val="auto"/>
          <w:sz w:val="21"/>
          <w:szCs w:val="21"/>
          <w:lang w:val="en-US" w:eastAsia="zh-CN" w:bidi="ar-SA"/>
        </w:rPr>
      </w:pPr>
      <w:r>
        <w:rPr>
          <w:rFonts w:hint="eastAsia" w:ascii="黑体" w:hAnsi="Times New Roman" w:eastAsia="黑体" w:cs="Times New Roman"/>
          <w:color w:val="auto"/>
          <w:sz w:val="21"/>
          <w:szCs w:val="21"/>
          <w:lang w:val="en-US" w:eastAsia="zh-CN" w:bidi="ar-SA"/>
        </w:rPr>
        <w:t>5.3.5.2</w:t>
      </w:r>
      <w:r>
        <w:rPr>
          <w:rFonts w:hint="eastAsia" w:hAnsi="Times New Roman" w:cs="Times New Roman"/>
          <w:color w:val="auto"/>
          <w:lang w:val="en-US" w:eastAsia="zh-CN"/>
        </w:rPr>
        <w:t xml:space="preserve"> </w:t>
      </w:r>
      <w:r>
        <w:rPr>
          <w:rFonts w:hint="eastAsia" w:ascii="宋体" w:hAnsi="宋体" w:eastAsia="宋体" w:cs="Times New Roman"/>
          <w:color w:val="auto"/>
          <w:sz w:val="21"/>
          <w:szCs w:val="21"/>
          <w:lang w:val="en-US" w:eastAsia="zh-CN" w:bidi="ar-SA"/>
        </w:rPr>
        <w:t>冷链功能区应包含多温区冷库（冷冻、冷藏、恒温）、低温分拣加工车间及冷链集配中心，满足农产品上行与工业品下行的双向冷链需求。</w:t>
      </w:r>
    </w:p>
    <w:p w14:paraId="3EBF5D8B">
      <w:pPr>
        <w:pStyle w:val="58"/>
        <w:widowControl w:val="0"/>
        <w:numPr>
          <w:ilvl w:val="0"/>
          <w:numId w:val="0"/>
        </w:numPr>
        <w:wordWrap w:val="0"/>
        <w:autoSpaceDE w:val="0"/>
        <w:autoSpaceDN w:val="0"/>
        <w:snapToGrid/>
        <w:spacing w:before="0" w:beforeLines="0" w:after="0" w:afterLines="0"/>
        <w:jc w:val="both"/>
        <w:rPr>
          <w:rFonts w:hint="eastAsia" w:ascii="宋体" w:hAnsi="宋体" w:eastAsia="宋体" w:cs="Times New Roman"/>
          <w:color w:val="auto"/>
          <w:sz w:val="21"/>
          <w:szCs w:val="21"/>
          <w:lang w:val="en-US" w:eastAsia="zh-CN" w:bidi="ar-SA"/>
        </w:rPr>
      </w:pPr>
      <w:r>
        <w:rPr>
          <w:rFonts w:hint="eastAsia" w:ascii="黑体" w:hAnsi="Times New Roman" w:eastAsia="黑体" w:cs="Times New Roman"/>
          <w:color w:val="auto"/>
          <w:sz w:val="21"/>
          <w:szCs w:val="21"/>
          <w:lang w:val="en-US" w:eastAsia="zh-CN" w:bidi="ar-SA"/>
        </w:rPr>
        <w:t>5.3.5.3</w:t>
      </w:r>
      <w:r>
        <w:rPr>
          <w:rFonts w:hint="eastAsia" w:hAnsi="Times New Roman" w:cs="Times New Roman"/>
          <w:color w:val="auto"/>
          <w:lang w:val="en-US" w:eastAsia="zh-CN"/>
        </w:rPr>
        <w:t xml:space="preserve"> </w:t>
      </w:r>
      <w:r>
        <w:rPr>
          <w:rFonts w:hint="eastAsia" w:ascii="宋体" w:hAnsi="宋体" w:eastAsia="宋体" w:cs="Times New Roman"/>
          <w:color w:val="auto"/>
          <w:sz w:val="21"/>
          <w:szCs w:val="21"/>
          <w:lang w:val="en-US" w:eastAsia="zh-CN" w:bidi="ar-SA"/>
        </w:rPr>
        <w:t>应建立全程冷链监控追溯体系，配置温湿度自动监测与报警装置，确保冷链物流不断链。</w:t>
      </w:r>
    </w:p>
    <w:p w14:paraId="0D3B9D7B">
      <w:pPr>
        <w:pStyle w:val="72"/>
        <w:numPr>
          <w:ilvl w:val="3"/>
          <w:numId w:val="0"/>
        </w:numPr>
        <w:spacing w:before="156" w:after="156"/>
        <w:jc w:val="left"/>
        <w:rPr>
          <w:rFonts w:hint="eastAsia" w:hAnsi="Times New Roman" w:cs="Times New Roman"/>
          <w:color w:val="auto"/>
          <w:lang w:val="en-US" w:eastAsia="zh-CN"/>
        </w:rPr>
      </w:pPr>
      <w:bookmarkStart w:id="25" w:name="_Toc28685"/>
      <w:r>
        <w:rPr>
          <w:rFonts w:hint="eastAsia" w:hAnsi="Times New Roman" w:cs="Times New Roman"/>
          <w:color w:val="auto"/>
          <w:lang w:val="en-US" w:eastAsia="zh-CN"/>
        </w:rPr>
        <w:t>5.3.6 综合配套功能区</w:t>
      </w:r>
      <w:bookmarkEnd w:id="25"/>
    </w:p>
    <w:p w14:paraId="4F1BCDC8">
      <w:pPr>
        <w:pStyle w:val="58"/>
        <w:widowControl w:val="0"/>
        <w:numPr>
          <w:ilvl w:val="0"/>
          <w:numId w:val="0"/>
        </w:numPr>
        <w:wordWrap w:val="0"/>
        <w:autoSpaceDE w:val="0"/>
        <w:autoSpaceDN w:val="0"/>
        <w:snapToGrid/>
        <w:spacing w:before="0" w:beforeLines="0" w:after="0" w:afterLines="0"/>
        <w:ind w:firstLine="420" w:firstLineChars="200"/>
        <w:jc w:val="both"/>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应规划建设综合配套功能区，在综合配套功能区宜设置行政管理与应急指挥中心，作为园区数字化运营与应急调度的核心枢纽。</w:t>
      </w:r>
    </w:p>
    <w:p w14:paraId="6366EC9B">
      <w:pPr>
        <w:pStyle w:val="54"/>
        <w:keepNext w:val="0"/>
        <w:keepLines w:val="0"/>
        <w:pageBreakBefore w:val="0"/>
        <w:widowControl w:val="0"/>
        <w:numPr>
          <w:ilvl w:val="0"/>
          <w:numId w:val="2"/>
        </w:numPr>
        <w:kinsoku/>
        <w:wordWrap w:val="0"/>
        <w:overflowPunct/>
        <w:topLinePunct w:val="0"/>
        <w:autoSpaceDE w:val="0"/>
        <w:autoSpaceDN w:val="0"/>
        <w:bidi w:val="0"/>
        <w:adjustRightInd/>
        <w:snapToGrid w:val="0"/>
        <w:spacing w:before="313" w:beforeLines="100"/>
        <w:jc w:val="both"/>
        <w:textAlignment w:val="auto"/>
        <w:outlineLvl w:val="0"/>
        <w:rPr>
          <w:rFonts w:hint="eastAsia" w:ascii="黑体" w:hAnsi="黑体" w:eastAsia="黑体" w:cs="黑体"/>
          <w:color w:val="auto"/>
          <w:sz w:val="21"/>
          <w:szCs w:val="21"/>
        </w:rPr>
      </w:pPr>
      <w:bookmarkStart w:id="26" w:name="_Toc14811"/>
      <w:r>
        <w:rPr>
          <w:rFonts w:hint="eastAsia" w:ascii="黑体" w:hAnsi="黑体" w:eastAsia="黑体" w:cs="黑体"/>
          <w:color w:val="auto"/>
          <w:sz w:val="21"/>
          <w:szCs w:val="21"/>
        </w:rPr>
        <w:t>设施</w:t>
      </w:r>
      <w:r>
        <w:rPr>
          <w:rFonts w:hint="eastAsia" w:cs="黑体"/>
          <w:color w:val="auto"/>
          <w:sz w:val="21"/>
          <w:szCs w:val="21"/>
          <w:lang w:eastAsia="zh-CN"/>
        </w:rPr>
        <w:t>要求</w:t>
      </w:r>
      <w:bookmarkEnd w:id="26"/>
    </w:p>
    <w:p w14:paraId="44DF97EE">
      <w:pPr>
        <w:pStyle w:val="57"/>
        <w:widowControl w:val="0"/>
        <w:numPr>
          <w:ilvl w:val="1"/>
          <w:numId w:val="2"/>
        </w:numPr>
        <w:wordWrap w:val="0"/>
        <w:autoSpaceDE w:val="0"/>
        <w:autoSpaceDN w:val="0"/>
        <w:snapToGrid w:val="0"/>
        <w:jc w:val="both"/>
        <w:outlineLvl w:val="1"/>
        <w:rPr>
          <w:color w:val="auto"/>
        </w:rPr>
      </w:pPr>
      <w:bookmarkStart w:id="27" w:name="_Toc31807"/>
      <w:bookmarkStart w:id="28" w:name="_Toc14624"/>
      <w:r>
        <w:rPr>
          <w:rFonts w:hint="eastAsia" w:ascii="黑体" w:hAnsi="黑体" w:eastAsia="黑体" w:cs="黑体"/>
          <w:color w:val="auto"/>
          <w:sz w:val="21"/>
          <w:szCs w:val="21"/>
        </w:rPr>
        <w:t>基础设施</w:t>
      </w:r>
      <w:bookmarkEnd w:id="27"/>
      <w:bookmarkEnd w:id="28"/>
    </w:p>
    <w:p w14:paraId="57C31A45">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应当配套规划建设与园区产业发展需求相匹配的电力、给排水、通信、道路、消防及防汛等基础设施，相关设施需纳入基础设施建设总体规划，并与城市基础设施体系有效衔接。</w:t>
      </w:r>
    </w:p>
    <w:p w14:paraId="03D7C24C">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应规划建设符合GB/T 50293和GB 50052要求的电力设施和内部应急供电系统。</w:t>
      </w:r>
    </w:p>
    <w:p w14:paraId="33C9784C">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物流园区应遵循节约用水原则，规划建设满足入驻企业用水需求的供水设施，编制符合GB 50282规定的用水规划</w:t>
      </w:r>
      <w:r>
        <w:rPr>
          <w:rFonts w:hint="eastAsia" w:cs="宋体"/>
          <w:color w:val="auto"/>
          <w:sz w:val="21"/>
          <w:szCs w:val="21"/>
          <w:lang w:eastAsia="zh-CN"/>
        </w:rPr>
        <w:t>。</w:t>
      </w:r>
      <w:r>
        <w:rPr>
          <w:rFonts w:hint="eastAsia" w:ascii="宋体" w:hAnsi="宋体" w:eastAsia="宋体" w:cs="宋体"/>
          <w:color w:val="auto"/>
          <w:sz w:val="21"/>
          <w:szCs w:val="21"/>
        </w:rPr>
        <w:t>应规划建设完备的排水设施，编制符合GB 50318规定的排水规划，且排水规划应与所在城市总体规划相适配。</w:t>
      </w:r>
    </w:p>
    <w:p w14:paraId="60498ED4">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基础设施的地下管线铺设应符合GB 50289的规定</w:t>
      </w:r>
      <w:r>
        <w:rPr>
          <w:rFonts w:hint="eastAsia" w:cs="宋体"/>
          <w:color w:val="auto"/>
          <w:sz w:val="21"/>
          <w:szCs w:val="21"/>
          <w:lang w:eastAsia="zh-CN"/>
        </w:rPr>
        <w:t>。</w:t>
      </w:r>
    </w:p>
    <w:p w14:paraId="59E72A9F">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园区内应按照GB 50140的要求配置相应的消防器材。</w:t>
      </w:r>
    </w:p>
    <w:p w14:paraId="3E5F3376">
      <w:pPr>
        <w:pStyle w:val="57"/>
        <w:widowControl w:val="0"/>
        <w:numPr>
          <w:ilvl w:val="1"/>
          <w:numId w:val="2"/>
        </w:numPr>
        <w:wordWrap w:val="0"/>
        <w:autoSpaceDE w:val="0"/>
        <w:autoSpaceDN w:val="0"/>
        <w:snapToGrid w:val="0"/>
        <w:jc w:val="both"/>
        <w:outlineLvl w:val="1"/>
        <w:rPr>
          <w:color w:val="auto"/>
        </w:rPr>
      </w:pPr>
      <w:bookmarkStart w:id="29" w:name="_Toc8849"/>
      <w:bookmarkStart w:id="30" w:name="_Toc14519"/>
      <w:r>
        <w:rPr>
          <w:rFonts w:hint="eastAsia" w:cs="黑体"/>
          <w:color w:val="auto"/>
          <w:sz w:val="21"/>
          <w:szCs w:val="21"/>
          <w:lang w:eastAsia="zh-CN"/>
        </w:rPr>
        <w:t>物流</w:t>
      </w:r>
      <w:r>
        <w:rPr>
          <w:rFonts w:hint="eastAsia" w:ascii="黑体" w:hAnsi="黑体" w:eastAsia="黑体" w:cs="黑体"/>
          <w:color w:val="auto"/>
          <w:sz w:val="21"/>
          <w:szCs w:val="21"/>
        </w:rPr>
        <w:t>设施</w:t>
      </w:r>
      <w:bookmarkEnd w:id="29"/>
      <w:bookmarkEnd w:id="30"/>
    </w:p>
    <w:p w14:paraId="45E2C05B">
      <w:pPr>
        <w:pStyle w:val="58"/>
        <w:widowControl w:val="0"/>
        <w:numPr>
          <w:ilvl w:val="2"/>
          <w:numId w:val="2"/>
        </w:numPr>
        <w:wordWrap w:val="0"/>
        <w:autoSpaceDE w:val="0"/>
        <w:autoSpaceDN w:val="0"/>
        <w:snapToGrid/>
        <w:jc w:val="both"/>
        <w:rPr>
          <w:rFonts w:hint="eastAsia" w:ascii="宋体" w:hAnsi="宋体" w:eastAsia="宋体" w:cs="宋体"/>
          <w:color w:val="auto"/>
          <w:sz w:val="21"/>
          <w:szCs w:val="21"/>
        </w:rPr>
      </w:pPr>
      <w:r>
        <w:rPr>
          <w:rFonts w:hint="eastAsia" w:ascii="宋体" w:hAnsi="宋体" w:eastAsia="宋体" w:cs="宋体"/>
          <w:color w:val="auto"/>
          <w:sz w:val="21"/>
          <w:szCs w:val="21"/>
        </w:rPr>
        <w:t>园区应根据业务需求</w:t>
      </w:r>
      <w:r>
        <w:rPr>
          <w:rFonts w:hint="eastAsia" w:ascii="宋体" w:hAnsi="宋体" w:eastAsia="宋体" w:cs="宋体"/>
          <w:color w:val="auto"/>
          <w:sz w:val="21"/>
          <w:szCs w:val="21"/>
          <w:lang w:eastAsia="zh-CN"/>
        </w:rPr>
        <w:t>、服务功能、规划吞吐量、商品流通规模，确定物流设施布局，物流建筑设计应符合</w:t>
      </w:r>
      <w:r>
        <w:rPr>
          <w:rFonts w:hint="eastAsia" w:ascii="宋体" w:hAnsi="宋体" w:eastAsia="宋体" w:cs="宋体"/>
          <w:color w:val="auto"/>
          <w:sz w:val="21"/>
          <w:szCs w:val="21"/>
        </w:rPr>
        <w:t>GB 51157</w:t>
      </w:r>
      <w:r>
        <w:rPr>
          <w:rFonts w:hint="eastAsia" w:ascii="宋体" w:hAnsi="宋体" w:eastAsia="宋体" w:cs="宋体"/>
          <w:color w:val="auto"/>
          <w:sz w:val="21"/>
          <w:szCs w:val="21"/>
          <w:lang w:eastAsia="zh-CN"/>
        </w:rPr>
        <w:t>要求。</w:t>
      </w:r>
    </w:p>
    <w:p w14:paraId="08A0FA7C">
      <w:pPr>
        <w:pStyle w:val="58"/>
        <w:widowControl w:val="0"/>
        <w:numPr>
          <w:ilvl w:val="2"/>
          <w:numId w:val="2"/>
        </w:numPr>
        <w:wordWrap w:val="0"/>
        <w:autoSpaceDE w:val="0"/>
        <w:autoSpaceDN w:val="0"/>
        <w:snapToGrid/>
        <w:jc w:val="both"/>
        <w:rPr>
          <w:color w:val="auto"/>
        </w:rPr>
      </w:pPr>
      <w:r>
        <w:rPr>
          <w:rFonts w:hint="eastAsia" w:cs="宋体"/>
          <w:color w:val="auto"/>
          <w:sz w:val="21"/>
          <w:szCs w:val="21"/>
          <w:lang w:eastAsia="zh-CN"/>
        </w:rPr>
        <w:t>宜</w:t>
      </w:r>
      <w:r>
        <w:rPr>
          <w:rFonts w:hint="eastAsia" w:ascii="宋体" w:hAnsi="宋体" w:eastAsia="宋体" w:cs="宋体"/>
          <w:color w:val="auto"/>
          <w:sz w:val="21"/>
          <w:szCs w:val="21"/>
        </w:rPr>
        <w:t>集中布置货场、集装箱作业区、海关监管区、甩挂运输场站等设施</w:t>
      </w:r>
      <w:r>
        <w:rPr>
          <w:rFonts w:hint="eastAsia" w:cs="宋体"/>
          <w:color w:val="auto"/>
          <w:sz w:val="21"/>
          <w:szCs w:val="21"/>
          <w:lang w:eastAsia="zh-CN"/>
        </w:rPr>
        <w:t>区域</w:t>
      </w:r>
      <w:r>
        <w:rPr>
          <w:rFonts w:hint="eastAsia" w:ascii="宋体" w:hAnsi="宋体" w:eastAsia="宋体" w:cs="宋体"/>
          <w:color w:val="auto"/>
          <w:sz w:val="21"/>
          <w:szCs w:val="21"/>
        </w:rPr>
        <w:t>，实现多种运输方式的高效衔接与转换。</w:t>
      </w:r>
    </w:p>
    <w:p w14:paraId="4FB8F919">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应结合业务特点，为不同仓储设施配套充足的室外作业场地。</w:t>
      </w:r>
    </w:p>
    <w:p w14:paraId="50086AE9">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零担快运</w:t>
      </w:r>
      <w:r>
        <w:rPr>
          <w:rFonts w:hint="eastAsia" w:cs="宋体"/>
          <w:color w:val="auto"/>
          <w:sz w:val="21"/>
          <w:szCs w:val="21"/>
          <w:lang w:eastAsia="zh-CN"/>
        </w:rPr>
        <w:t>中心</w:t>
      </w:r>
      <w:r>
        <w:rPr>
          <w:rFonts w:hint="eastAsia" w:ascii="宋体" w:hAnsi="宋体" w:eastAsia="宋体" w:cs="宋体"/>
          <w:color w:val="auto"/>
          <w:sz w:val="21"/>
          <w:szCs w:val="21"/>
        </w:rPr>
        <w:t>、快递分拨中心应预留宽阔的车辆装卸区、周转场地</w:t>
      </w:r>
      <w:r>
        <w:rPr>
          <w:rFonts w:hint="eastAsia" w:cs="宋体"/>
          <w:color w:val="auto"/>
          <w:sz w:val="21"/>
          <w:szCs w:val="21"/>
          <w:lang w:eastAsia="zh-CN"/>
        </w:rPr>
        <w:t>。</w:t>
      </w:r>
    </w:p>
    <w:p w14:paraId="00D292EB">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冷链仓储中心应</w:t>
      </w:r>
      <w:r>
        <w:rPr>
          <w:rFonts w:hint="eastAsia" w:cs="宋体"/>
          <w:color w:val="auto"/>
          <w:sz w:val="21"/>
          <w:szCs w:val="21"/>
          <w:lang w:eastAsia="zh-CN"/>
        </w:rPr>
        <w:t>符合GB 50072的要求，并</w:t>
      </w:r>
      <w:r>
        <w:rPr>
          <w:rFonts w:hint="eastAsia" w:ascii="宋体" w:hAnsi="宋体" w:eastAsia="宋体" w:cs="宋体"/>
          <w:color w:val="auto"/>
          <w:sz w:val="21"/>
          <w:szCs w:val="21"/>
        </w:rPr>
        <w:t>配套封闭式装卸平台与温控通道。</w:t>
      </w:r>
    </w:p>
    <w:p w14:paraId="4A030AA2">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仓储区域地面荷载应符合重型货架及叉车作业要求。</w:t>
      </w:r>
    </w:p>
    <w:p w14:paraId="6BA1C04A">
      <w:pPr>
        <w:pStyle w:val="57"/>
        <w:widowControl w:val="0"/>
        <w:numPr>
          <w:ilvl w:val="1"/>
          <w:numId w:val="2"/>
        </w:numPr>
        <w:wordWrap w:val="0"/>
        <w:autoSpaceDE w:val="0"/>
        <w:autoSpaceDN w:val="0"/>
        <w:snapToGrid w:val="0"/>
        <w:jc w:val="both"/>
        <w:outlineLvl w:val="1"/>
        <w:rPr>
          <w:color w:val="auto"/>
        </w:rPr>
      </w:pPr>
      <w:bookmarkStart w:id="31" w:name="_Toc18289"/>
      <w:bookmarkStart w:id="32" w:name="_Toc13180"/>
      <w:bookmarkStart w:id="33" w:name="_Toce6280ee9-6972-4bc2-a325-d1ca5e37d7fb"/>
      <w:r>
        <w:rPr>
          <w:rFonts w:hint="eastAsia" w:ascii="黑体" w:hAnsi="黑体" w:eastAsia="黑体" w:cs="黑体"/>
          <w:color w:val="auto"/>
          <w:sz w:val="21"/>
          <w:szCs w:val="21"/>
        </w:rPr>
        <w:t>配套设施</w:t>
      </w:r>
      <w:bookmarkEnd w:id="31"/>
      <w:bookmarkEnd w:id="32"/>
      <w:bookmarkEnd w:id="33"/>
    </w:p>
    <w:p w14:paraId="1ED91897">
      <w:pPr>
        <w:pStyle w:val="58"/>
        <w:widowControl w:val="0"/>
        <w:numPr>
          <w:ilvl w:val="2"/>
          <w:numId w:val="2"/>
        </w:numPr>
        <w:wordWrap w:val="0"/>
        <w:autoSpaceDE w:val="0"/>
        <w:autoSpaceDN w:val="0"/>
        <w:snapToGrid/>
        <w:jc w:val="both"/>
        <w:rPr>
          <w:color w:val="auto"/>
        </w:rPr>
      </w:pPr>
      <w:r>
        <w:rPr>
          <w:rFonts w:hint="eastAsia" w:ascii="宋体" w:hAnsi="宋体" w:eastAsia="宋体" w:cs="宋体"/>
          <w:color w:val="auto"/>
          <w:sz w:val="21"/>
          <w:szCs w:val="21"/>
        </w:rPr>
        <w:t>宜在园区主入口或核心区域建设服务中心或园区会客厅，相关建筑的设计与功能布局应满足JGJ/T 67的要求，无障碍设计应符合GB 50763的要求。</w:t>
      </w:r>
    </w:p>
    <w:p w14:paraId="4A6B64B9">
      <w:pPr>
        <w:pStyle w:val="58"/>
        <w:widowControl w:val="0"/>
        <w:numPr>
          <w:ilvl w:val="2"/>
          <w:numId w:val="2"/>
        </w:numPr>
        <w:wordWrap w:val="0"/>
        <w:autoSpaceDE w:val="0"/>
        <w:autoSpaceDN w:val="0"/>
        <w:snapToGrid/>
        <w:jc w:val="both"/>
        <w:rPr>
          <w:rFonts w:hint="eastAsia" w:ascii="宋体" w:hAnsi="宋体" w:eastAsia="宋体" w:cs="宋体"/>
          <w:color w:val="auto"/>
          <w:sz w:val="21"/>
          <w:szCs w:val="21"/>
        </w:rPr>
      </w:pPr>
      <w:r>
        <w:rPr>
          <w:rFonts w:hint="eastAsia" w:ascii="宋体" w:hAnsi="宋体" w:eastAsia="宋体" w:cs="宋体"/>
          <w:color w:val="auto"/>
          <w:sz w:val="21"/>
          <w:szCs w:val="21"/>
        </w:rPr>
        <w:t>商贸服务</w:t>
      </w:r>
      <w:r>
        <w:rPr>
          <w:rFonts w:hint="eastAsia" w:ascii="宋体" w:hAnsi="宋体" w:eastAsia="宋体" w:cs="宋体"/>
          <w:color w:val="auto"/>
          <w:sz w:val="21"/>
          <w:szCs w:val="21"/>
          <w:lang w:eastAsia="zh-CN"/>
        </w:rPr>
        <w:t>区域应</w:t>
      </w:r>
      <w:r>
        <w:rPr>
          <w:rFonts w:hint="eastAsia" w:ascii="宋体" w:hAnsi="宋体" w:eastAsia="宋体" w:cs="宋体"/>
          <w:color w:val="auto"/>
          <w:sz w:val="21"/>
          <w:szCs w:val="21"/>
        </w:rPr>
        <w:t>配套建设电商直播中心、商务办公、金融服务、政务服务、酒店餐饮等设施，形成前店后仓（场）、线上线下融合的商贸服务体系。</w:t>
      </w:r>
    </w:p>
    <w:p w14:paraId="084FC0A7">
      <w:pPr>
        <w:pStyle w:val="58"/>
        <w:widowControl w:val="0"/>
        <w:numPr>
          <w:ilvl w:val="2"/>
          <w:numId w:val="2"/>
        </w:numPr>
        <w:wordWrap w:val="0"/>
        <w:autoSpaceDE w:val="0"/>
        <w:autoSpaceDN w:val="0"/>
        <w:snapToGrid/>
        <w:jc w:val="both"/>
        <w:rPr>
          <w:color w:val="auto"/>
          <w:sz w:val="21"/>
          <w:szCs w:val="21"/>
        </w:rPr>
      </w:pPr>
      <w:r>
        <w:rPr>
          <w:rFonts w:hint="eastAsia"/>
          <w:color w:val="auto"/>
          <w:sz w:val="21"/>
          <w:szCs w:val="21"/>
          <w:lang w:eastAsia="zh-CN"/>
        </w:rPr>
        <w:t>综合配套功能区应配套建设</w:t>
      </w:r>
      <w:r>
        <w:rPr>
          <w:rFonts w:hint="eastAsia"/>
          <w:color w:val="auto"/>
          <w:sz w:val="21"/>
          <w:szCs w:val="21"/>
        </w:rPr>
        <w:t>司机之家、车辆维修保养、</w:t>
      </w:r>
      <w:r>
        <w:rPr>
          <w:rFonts w:hint="eastAsia"/>
          <w:color w:val="auto"/>
          <w:sz w:val="21"/>
          <w:szCs w:val="21"/>
          <w:lang w:eastAsia="zh-CN"/>
        </w:rPr>
        <w:t>公共停车场、能源供应（</w:t>
      </w:r>
      <w:r>
        <w:rPr>
          <w:rFonts w:hint="eastAsia"/>
          <w:color w:val="auto"/>
          <w:sz w:val="21"/>
          <w:szCs w:val="21"/>
        </w:rPr>
        <w:t>加油/加气/充换电站</w:t>
      </w:r>
      <w:r>
        <w:rPr>
          <w:rFonts w:hint="eastAsia"/>
          <w:color w:val="auto"/>
          <w:sz w:val="21"/>
          <w:szCs w:val="21"/>
          <w:lang w:eastAsia="zh-CN"/>
        </w:rPr>
        <w:t>）</w:t>
      </w:r>
      <w:r>
        <w:rPr>
          <w:rFonts w:hint="eastAsia"/>
          <w:color w:val="auto"/>
          <w:sz w:val="21"/>
          <w:szCs w:val="21"/>
        </w:rPr>
        <w:t>等设施</w:t>
      </w:r>
      <w:r>
        <w:rPr>
          <w:rFonts w:hint="eastAsia"/>
          <w:color w:val="auto"/>
          <w:sz w:val="21"/>
          <w:szCs w:val="21"/>
          <w:lang w:eastAsia="zh-CN"/>
        </w:rPr>
        <w:t>。其中，</w:t>
      </w:r>
      <w:r>
        <w:rPr>
          <w:rFonts w:hint="eastAsia"/>
          <w:color w:val="auto"/>
          <w:sz w:val="21"/>
          <w:szCs w:val="21"/>
        </w:rPr>
        <w:t>充电及换电设施应满足新能源物流车辆的作业需求，充电桩配置比例应符合当地新能源汽车推广应用的相关规定。</w:t>
      </w:r>
    </w:p>
    <w:p w14:paraId="7FD84B73">
      <w:pPr>
        <w:pStyle w:val="54"/>
        <w:keepNext w:val="0"/>
        <w:keepLines w:val="0"/>
        <w:pageBreakBefore w:val="0"/>
        <w:widowControl w:val="0"/>
        <w:numPr>
          <w:ilvl w:val="0"/>
          <w:numId w:val="2"/>
        </w:numPr>
        <w:kinsoku/>
        <w:wordWrap w:val="0"/>
        <w:overflowPunct/>
        <w:topLinePunct w:val="0"/>
        <w:autoSpaceDE w:val="0"/>
        <w:autoSpaceDN w:val="0"/>
        <w:bidi w:val="0"/>
        <w:adjustRightInd/>
        <w:snapToGrid w:val="0"/>
        <w:spacing w:before="313" w:beforeLines="100"/>
        <w:jc w:val="both"/>
        <w:textAlignment w:val="auto"/>
        <w:outlineLvl w:val="0"/>
        <w:rPr>
          <w:rFonts w:hint="eastAsia" w:ascii="黑体" w:hAnsi="黑体" w:eastAsia="黑体" w:cs="黑体"/>
          <w:color w:val="auto"/>
          <w:sz w:val="21"/>
          <w:szCs w:val="21"/>
        </w:rPr>
      </w:pPr>
      <w:bookmarkStart w:id="34" w:name="_Toc8630"/>
      <w:r>
        <w:rPr>
          <w:rFonts w:hint="eastAsia" w:ascii="黑体" w:hAnsi="黑体" w:eastAsia="黑体" w:cs="黑体"/>
          <w:color w:val="auto"/>
          <w:sz w:val="21"/>
          <w:szCs w:val="21"/>
        </w:rPr>
        <w:t>信息化与智慧化建设</w:t>
      </w:r>
      <w:bookmarkEnd w:id="34"/>
    </w:p>
    <w:p w14:paraId="0D3E2956">
      <w:pPr>
        <w:pStyle w:val="58"/>
        <w:widowControl w:val="0"/>
        <w:numPr>
          <w:ilvl w:val="1"/>
          <w:numId w:val="2"/>
        </w:numPr>
        <w:wordWrap w:val="0"/>
        <w:autoSpaceDE w:val="0"/>
        <w:autoSpaceDN w:val="0"/>
        <w:snapToGrid/>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园区</w:t>
      </w:r>
      <w:r>
        <w:rPr>
          <w:rFonts w:hint="eastAsia" w:cs="宋体"/>
          <w:color w:val="auto"/>
          <w:sz w:val="21"/>
          <w:szCs w:val="21"/>
          <w:lang w:eastAsia="zh-CN"/>
        </w:rPr>
        <w:t>信息化与智慧化建设通用技术</w:t>
      </w:r>
      <w:r>
        <w:rPr>
          <w:rFonts w:hint="eastAsia" w:ascii="宋体" w:hAnsi="宋体" w:eastAsia="宋体" w:cs="宋体"/>
          <w:color w:val="auto"/>
          <w:sz w:val="21"/>
          <w:szCs w:val="21"/>
          <w:lang w:val="en-US" w:eastAsia="zh-CN"/>
        </w:rPr>
        <w:t>符合</w:t>
      </w:r>
      <w:r>
        <w:rPr>
          <w:rFonts w:hint="eastAsia" w:ascii="宋体" w:hAnsi="宋体" w:eastAsia="宋体" w:cs="宋体"/>
          <w:color w:val="auto"/>
          <w:sz w:val="21"/>
          <w:szCs w:val="21"/>
        </w:rPr>
        <w:t>GB/T 44459</w:t>
      </w:r>
      <w:r>
        <w:rPr>
          <w:rFonts w:hint="eastAsia" w:ascii="宋体" w:hAnsi="宋体" w:eastAsia="宋体" w:cs="宋体"/>
          <w:color w:val="auto"/>
          <w:sz w:val="21"/>
          <w:szCs w:val="21"/>
          <w:lang w:eastAsia="zh-CN"/>
        </w:rPr>
        <w:t>的要求。</w:t>
      </w:r>
    </w:p>
    <w:p w14:paraId="6540580C">
      <w:pPr>
        <w:pStyle w:val="58"/>
        <w:widowControl w:val="0"/>
        <w:numPr>
          <w:ilvl w:val="1"/>
          <w:numId w:val="2"/>
        </w:numPr>
        <w:wordWrap w:val="0"/>
        <w:autoSpaceDE w:val="0"/>
        <w:autoSpaceDN w:val="0"/>
        <w:snapToGrid/>
        <w:jc w:val="both"/>
        <w:rPr>
          <w:color w:val="auto"/>
        </w:rPr>
      </w:pPr>
      <w:r>
        <w:rPr>
          <w:rFonts w:hint="eastAsia" w:ascii="宋体" w:hAnsi="宋体" w:eastAsia="宋体" w:cs="宋体"/>
          <w:color w:val="auto"/>
          <w:sz w:val="21"/>
          <w:szCs w:val="21"/>
        </w:rPr>
        <w:t>园区宜规划建设统一的智慧园区管理平台或物流大数据中心作为园区智慧化运营</w:t>
      </w:r>
      <w:r>
        <w:rPr>
          <w:rFonts w:hint="eastAsia" w:cs="宋体"/>
          <w:color w:val="auto"/>
          <w:sz w:val="21"/>
          <w:szCs w:val="21"/>
          <w:lang w:eastAsia="zh-CN"/>
        </w:rPr>
        <w:t>中枢</w:t>
      </w:r>
      <w:r>
        <w:rPr>
          <w:rFonts w:hint="eastAsia" w:ascii="宋体" w:hAnsi="宋体" w:eastAsia="宋体" w:cs="宋体"/>
          <w:color w:val="auto"/>
          <w:sz w:val="21"/>
          <w:szCs w:val="21"/>
        </w:rPr>
        <w:t>。该平台</w:t>
      </w:r>
      <w:r>
        <w:rPr>
          <w:rFonts w:hint="eastAsia" w:cs="宋体"/>
          <w:color w:val="auto"/>
          <w:sz w:val="21"/>
          <w:szCs w:val="21"/>
          <w:lang w:eastAsia="zh-CN"/>
        </w:rPr>
        <w:t>应</w:t>
      </w:r>
      <w:r>
        <w:rPr>
          <w:rFonts w:hint="eastAsia" w:ascii="宋体" w:hAnsi="宋体" w:eastAsia="宋体" w:cs="宋体"/>
          <w:color w:val="auto"/>
          <w:sz w:val="21"/>
          <w:szCs w:val="21"/>
        </w:rPr>
        <w:t>具备数据集成、分析决策、可视化展示和统一调度指挥功能。</w:t>
      </w:r>
    </w:p>
    <w:p w14:paraId="4902AC57">
      <w:pPr>
        <w:pStyle w:val="58"/>
        <w:widowControl w:val="0"/>
        <w:numPr>
          <w:ilvl w:val="1"/>
          <w:numId w:val="2"/>
        </w:numPr>
        <w:wordWrap w:val="0"/>
        <w:autoSpaceDE w:val="0"/>
        <w:autoSpaceDN w:val="0"/>
        <w:snapToGrid/>
        <w:jc w:val="both"/>
        <w:rPr>
          <w:color w:val="auto"/>
        </w:rPr>
      </w:pPr>
      <w:r>
        <w:rPr>
          <w:rFonts w:hint="eastAsia" w:ascii="宋体" w:hAnsi="宋体" w:eastAsia="宋体" w:cs="宋体"/>
          <w:color w:val="auto"/>
          <w:sz w:val="21"/>
          <w:szCs w:val="21"/>
        </w:rPr>
        <w:t>宜建立智慧物流信息平台，实现车货智能匹配、运力智能调度、仓储智能管理、配送路径优化等功能。支持零担快运、快递分拨、城乡共配等多业态的一体化运营。</w:t>
      </w:r>
      <w:r>
        <w:rPr>
          <w:rFonts w:hint="eastAsia" w:cs="宋体"/>
          <w:color w:val="auto"/>
          <w:sz w:val="21"/>
          <w:szCs w:val="21"/>
          <w:lang w:eastAsia="zh-CN"/>
        </w:rPr>
        <w:t>宜</w:t>
      </w:r>
      <w:r>
        <w:rPr>
          <w:rFonts w:hint="eastAsia" w:ascii="宋体" w:hAnsi="宋体" w:eastAsia="宋体" w:cs="宋体"/>
          <w:color w:val="auto"/>
          <w:sz w:val="21"/>
          <w:szCs w:val="21"/>
        </w:rPr>
        <w:t>引入智慧云仓模式，应用物联网、自动化分拣及机器人技术，实现库存云端共享、订单自动路由及仓储作业的无人化与智能化</w:t>
      </w:r>
      <w:r>
        <w:rPr>
          <w:rFonts w:hint="eastAsia" w:cs="宋体"/>
          <w:color w:val="auto"/>
          <w:sz w:val="21"/>
          <w:szCs w:val="21"/>
          <w:lang w:eastAsia="zh-CN"/>
        </w:rPr>
        <w:t>。</w:t>
      </w:r>
    </w:p>
    <w:p w14:paraId="13D08367">
      <w:pPr>
        <w:pStyle w:val="58"/>
        <w:widowControl w:val="0"/>
        <w:numPr>
          <w:ilvl w:val="1"/>
          <w:numId w:val="2"/>
        </w:numPr>
        <w:wordWrap w:val="0"/>
        <w:autoSpaceDE w:val="0"/>
        <w:autoSpaceDN w:val="0"/>
        <w:snapToGrid/>
        <w:jc w:val="both"/>
        <w:rPr>
          <w:color w:val="auto"/>
        </w:rPr>
      </w:pPr>
      <w:r>
        <w:rPr>
          <w:rFonts w:hint="eastAsia" w:ascii="宋体" w:hAnsi="宋体" w:eastAsia="宋体" w:cs="宋体"/>
          <w:color w:val="auto"/>
          <w:sz w:val="21"/>
          <w:szCs w:val="21"/>
        </w:rPr>
        <w:t>宜建立智慧停车与交通引导系统，实现车位状态实时查询、智能导航、无感支付等功能，优化园区动态交通组织。</w:t>
      </w:r>
    </w:p>
    <w:p w14:paraId="05E5D247">
      <w:pPr>
        <w:pStyle w:val="58"/>
        <w:widowControl w:val="0"/>
        <w:numPr>
          <w:ilvl w:val="1"/>
          <w:numId w:val="2"/>
        </w:numPr>
        <w:wordWrap w:val="0"/>
        <w:autoSpaceDE w:val="0"/>
        <w:autoSpaceDN w:val="0"/>
        <w:snapToGrid/>
        <w:jc w:val="both"/>
        <w:rPr>
          <w:color w:val="auto"/>
        </w:rPr>
      </w:pPr>
      <w:r>
        <w:rPr>
          <w:rFonts w:hint="eastAsia" w:ascii="宋体" w:hAnsi="宋体" w:eastAsia="宋体" w:cs="宋体"/>
          <w:color w:val="auto"/>
          <w:sz w:val="21"/>
          <w:szCs w:val="21"/>
        </w:rPr>
        <w:t>宜建立智能安防监控系统，实现重点区域视频监控全覆盖，并具备人脸识别、车辆识别、异常行为分析等智能安防功能。</w:t>
      </w:r>
    </w:p>
    <w:p w14:paraId="44E25029">
      <w:pPr>
        <w:pStyle w:val="58"/>
        <w:widowControl w:val="0"/>
        <w:numPr>
          <w:ilvl w:val="1"/>
          <w:numId w:val="2"/>
        </w:numPr>
        <w:wordWrap w:val="0"/>
        <w:autoSpaceDE w:val="0"/>
        <w:autoSpaceDN w:val="0"/>
        <w:snapToGrid/>
        <w:jc w:val="both"/>
        <w:rPr>
          <w:color w:val="auto"/>
        </w:rPr>
      </w:pPr>
      <w:r>
        <w:rPr>
          <w:rFonts w:hint="eastAsia" w:ascii="宋体" w:hAnsi="宋体" w:eastAsia="宋体" w:cs="宋体"/>
          <w:color w:val="auto"/>
          <w:sz w:val="21"/>
          <w:szCs w:val="21"/>
        </w:rPr>
        <w:t>宜建设数字农批系统，为商户配备信息公示屏和溯源电子秤，实现商品信息透明化、交易数据电子化、食品安全全程可追溯。</w:t>
      </w:r>
    </w:p>
    <w:p w14:paraId="507FA30A">
      <w:pPr>
        <w:pStyle w:val="58"/>
        <w:widowControl w:val="0"/>
        <w:numPr>
          <w:ilvl w:val="1"/>
          <w:numId w:val="2"/>
        </w:numPr>
        <w:wordWrap w:val="0"/>
        <w:autoSpaceDE w:val="0"/>
        <w:autoSpaceDN w:val="0"/>
        <w:snapToGrid/>
        <w:jc w:val="both"/>
        <w:rPr>
          <w:color w:val="auto"/>
        </w:rPr>
      </w:pPr>
      <w:r>
        <w:rPr>
          <w:rFonts w:hint="eastAsia" w:ascii="宋体" w:hAnsi="宋体" w:eastAsia="宋体" w:cs="宋体"/>
          <w:color w:val="auto"/>
          <w:sz w:val="21"/>
          <w:szCs w:val="21"/>
        </w:rPr>
        <w:t>宜建立电商直播与供应链服务平台，为园区商户提供线上展销、直播带货、订单管理、一件代发、供应链金融等服务。</w:t>
      </w:r>
    </w:p>
    <w:p w14:paraId="69712C9B">
      <w:pPr>
        <w:pStyle w:val="54"/>
        <w:keepNext w:val="0"/>
        <w:keepLines w:val="0"/>
        <w:pageBreakBefore w:val="0"/>
        <w:widowControl w:val="0"/>
        <w:numPr>
          <w:ilvl w:val="0"/>
          <w:numId w:val="2"/>
        </w:numPr>
        <w:kinsoku/>
        <w:wordWrap w:val="0"/>
        <w:overflowPunct/>
        <w:topLinePunct w:val="0"/>
        <w:autoSpaceDE w:val="0"/>
        <w:autoSpaceDN w:val="0"/>
        <w:bidi w:val="0"/>
        <w:adjustRightInd/>
        <w:snapToGrid w:val="0"/>
        <w:spacing w:before="313" w:beforeLines="100"/>
        <w:jc w:val="both"/>
        <w:textAlignment w:val="auto"/>
        <w:outlineLvl w:val="0"/>
        <w:rPr>
          <w:rFonts w:hint="eastAsia" w:ascii="黑体" w:hAnsi="黑体" w:eastAsia="黑体" w:cs="黑体"/>
          <w:color w:val="auto"/>
          <w:sz w:val="21"/>
          <w:szCs w:val="21"/>
        </w:rPr>
      </w:pPr>
      <w:bookmarkStart w:id="35" w:name="_Toc12990"/>
      <w:r>
        <w:rPr>
          <w:rFonts w:hint="eastAsia" w:cs="黑体"/>
          <w:strike w:val="0"/>
          <w:dstrike w:val="0"/>
          <w:color w:val="auto"/>
          <w:sz w:val="21"/>
          <w:szCs w:val="21"/>
          <w:lang w:eastAsia="zh-CN"/>
        </w:rPr>
        <w:t>安全与环保</w:t>
      </w:r>
      <w:r>
        <w:rPr>
          <w:rFonts w:hint="eastAsia" w:cs="黑体"/>
          <w:color w:val="auto"/>
          <w:sz w:val="21"/>
          <w:szCs w:val="21"/>
          <w:lang w:eastAsia="zh-CN"/>
        </w:rPr>
        <w:t>要求</w:t>
      </w:r>
      <w:bookmarkEnd w:id="35"/>
    </w:p>
    <w:p w14:paraId="5526EED2">
      <w:pPr>
        <w:pStyle w:val="58"/>
        <w:widowControl w:val="0"/>
        <w:numPr>
          <w:ilvl w:val="1"/>
          <w:numId w:val="2"/>
        </w:numPr>
        <w:wordWrap w:val="0"/>
        <w:autoSpaceDE w:val="0"/>
        <w:autoSpaceDN w:val="0"/>
        <w:snapToGrid/>
        <w:jc w:val="both"/>
        <w:rPr>
          <w:rFonts w:hint="eastAsia" w:ascii="宋体" w:hAnsi="宋体" w:eastAsia="宋体" w:cs="宋体"/>
          <w:color w:val="auto"/>
          <w:sz w:val="21"/>
          <w:szCs w:val="21"/>
        </w:rPr>
      </w:pPr>
      <w:r>
        <w:rPr>
          <w:rFonts w:hint="eastAsia" w:cs="宋体"/>
          <w:color w:val="auto"/>
          <w:sz w:val="21"/>
          <w:szCs w:val="21"/>
          <w:lang w:eastAsia="zh-CN"/>
        </w:rPr>
        <w:t>园区整体建设应符合</w:t>
      </w:r>
      <w:r>
        <w:rPr>
          <w:rFonts w:hint="eastAsia" w:ascii="宋体" w:hAnsi="宋体" w:eastAsia="宋体" w:cs="宋体"/>
          <w:color w:val="auto"/>
          <w:sz w:val="21"/>
          <w:szCs w:val="21"/>
        </w:rPr>
        <w:t>GB/T 50378</w:t>
      </w:r>
      <w:r>
        <w:rPr>
          <w:rFonts w:hint="eastAsia" w:cs="宋体"/>
          <w:color w:val="auto"/>
          <w:sz w:val="21"/>
          <w:szCs w:val="21"/>
          <w:lang w:eastAsia="zh-CN"/>
        </w:rPr>
        <w:t>与</w:t>
      </w:r>
      <w:r>
        <w:rPr>
          <w:rFonts w:hint="eastAsia" w:ascii="宋体" w:hAnsi="宋体" w:eastAsia="宋体" w:cs="宋体"/>
          <w:color w:val="auto"/>
          <w:sz w:val="21"/>
          <w:szCs w:val="21"/>
        </w:rPr>
        <w:t>JT/T 1537.1</w:t>
      </w:r>
      <w:r>
        <w:rPr>
          <w:rFonts w:hint="eastAsia" w:cs="宋体"/>
          <w:color w:val="auto"/>
          <w:sz w:val="21"/>
          <w:szCs w:val="21"/>
          <w:lang w:eastAsia="zh-CN"/>
        </w:rPr>
        <w:t>的要求。</w:t>
      </w:r>
    </w:p>
    <w:p w14:paraId="6BF8FE00">
      <w:pPr>
        <w:pStyle w:val="58"/>
        <w:widowControl w:val="0"/>
        <w:numPr>
          <w:ilvl w:val="1"/>
          <w:numId w:val="2"/>
        </w:numPr>
        <w:wordWrap w:val="0"/>
        <w:autoSpaceDE w:val="0"/>
        <w:autoSpaceDN w:val="0"/>
        <w:snapToGrid/>
        <w:jc w:val="both"/>
        <w:rPr>
          <w:rFonts w:hint="eastAsia" w:ascii="宋体" w:hAnsi="宋体" w:eastAsia="宋体" w:cs="宋体"/>
          <w:color w:val="auto"/>
          <w:sz w:val="21"/>
          <w:szCs w:val="21"/>
        </w:rPr>
      </w:pPr>
      <w:r>
        <w:rPr>
          <w:rFonts w:hint="eastAsia" w:ascii="宋体" w:hAnsi="宋体" w:eastAsia="宋体" w:cs="宋体"/>
          <w:color w:val="auto"/>
          <w:sz w:val="21"/>
          <w:szCs w:val="21"/>
        </w:rPr>
        <w:t>园区内的建筑耐火等级、</w:t>
      </w:r>
      <w:r>
        <w:rPr>
          <w:rFonts w:hint="eastAsia" w:cs="宋体"/>
          <w:color w:val="auto"/>
          <w:sz w:val="21"/>
          <w:szCs w:val="21"/>
          <w:lang w:eastAsia="zh-CN"/>
        </w:rPr>
        <w:t>防火分区面积、</w:t>
      </w:r>
      <w:r>
        <w:rPr>
          <w:rFonts w:hint="eastAsia" w:ascii="宋体" w:hAnsi="宋体" w:eastAsia="宋体" w:cs="宋体"/>
          <w:color w:val="auto"/>
          <w:sz w:val="21"/>
          <w:szCs w:val="21"/>
        </w:rPr>
        <w:t>防火间距、消防车道等应符合GB 50016</w:t>
      </w:r>
      <w:r>
        <w:rPr>
          <w:rFonts w:hint="eastAsia" w:cs="宋体"/>
          <w:color w:val="auto"/>
          <w:sz w:val="21"/>
          <w:szCs w:val="21"/>
          <w:lang w:eastAsia="zh-CN"/>
        </w:rPr>
        <w:t>的要求。</w:t>
      </w:r>
    </w:p>
    <w:p w14:paraId="2226C64A">
      <w:pPr>
        <w:pStyle w:val="58"/>
        <w:widowControl w:val="0"/>
        <w:numPr>
          <w:ilvl w:val="1"/>
          <w:numId w:val="2"/>
        </w:numPr>
        <w:wordWrap w:val="0"/>
        <w:autoSpaceDE w:val="0"/>
        <w:autoSpaceDN w:val="0"/>
        <w:snapToGrid/>
        <w:jc w:val="both"/>
        <w:rPr>
          <w:rFonts w:hint="eastAsia" w:ascii="宋体" w:hAnsi="宋体" w:eastAsia="宋体" w:cs="宋体"/>
          <w:color w:val="auto"/>
          <w:sz w:val="21"/>
          <w:szCs w:val="21"/>
        </w:rPr>
      </w:pPr>
      <w:r>
        <w:rPr>
          <w:rFonts w:hint="eastAsia" w:ascii="宋体" w:hAnsi="宋体" w:eastAsia="宋体" w:cs="宋体"/>
          <w:color w:val="auto"/>
          <w:sz w:val="21"/>
          <w:szCs w:val="21"/>
        </w:rPr>
        <w:t>主要道路两侧应设置一定宽度的防护绿地，</w:t>
      </w:r>
      <w:r>
        <w:rPr>
          <w:rFonts w:hint="eastAsia" w:cs="宋体"/>
          <w:color w:val="auto"/>
          <w:sz w:val="21"/>
          <w:szCs w:val="21"/>
          <w:lang w:eastAsia="zh-CN"/>
        </w:rPr>
        <w:t>实现</w:t>
      </w:r>
      <w:r>
        <w:rPr>
          <w:rFonts w:hint="eastAsia" w:ascii="宋体" w:hAnsi="宋体" w:eastAsia="宋体" w:cs="宋体"/>
          <w:color w:val="auto"/>
          <w:sz w:val="21"/>
          <w:szCs w:val="21"/>
        </w:rPr>
        <w:t>降尘、降噪、隔离等生态功能。</w:t>
      </w:r>
    </w:p>
    <w:p w14:paraId="16795009">
      <w:pPr>
        <w:pStyle w:val="58"/>
        <w:widowControl w:val="0"/>
        <w:numPr>
          <w:ilvl w:val="1"/>
          <w:numId w:val="2"/>
        </w:numPr>
        <w:wordWrap w:val="0"/>
        <w:autoSpaceDE w:val="0"/>
        <w:autoSpaceDN w:val="0"/>
        <w:snapToGrid/>
        <w:jc w:val="both"/>
        <w:rPr>
          <w:rFonts w:hint="eastAsia" w:ascii="宋体" w:hAnsi="宋体" w:eastAsia="宋体" w:cs="宋体"/>
          <w:color w:val="auto"/>
          <w:sz w:val="21"/>
          <w:szCs w:val="21"/>
        </w:rPr>
      </w:pPr>
      <w:r>
        <w:rPr>
          <w:rFonts w:hint="eastAsia" w:ascii="宋体" w:hAnsi="宋体" w:eastAsia="宋体" w:cs="宋体"/>
          <w:color w:val="auto"/>
          <w:sz w:val="21"/>
          <w:szCs w:val="21"/>
        </w:rPr>
        <w:t>绿地系统规划应注重生态效益，采用乡土植物，构建复层绿化，提高单位面积绿地的碳汇能力</w:t>
      </w:r>
      <w:r>
        <w:rPr>
          <w:rFonts w:hint="eastAsia" w:cs="宋体"/>
          <w:color w:val="auto"/>
          <w:sz w:val="21"/>
          <w:szCs w:val="21"/>
          <w:lang w:eastAsia="zh-CN"/>
        </w:rPr>
        <w:t>。</w:t>
      </w:r>
    </w:p>
    <w:p w14:paraId="6EA02100">
      <w:pPr>
        <w:pStyle w:val="58"/>
        <w:widowControl w:val="0"/>
        <w:numPr>
          <w:ilvl w:val="1"/>
          <w:numId w:val="2"/>
        </w:numPr>
        <w:wordWrap w:val="0"/>
        <w:autoSpaceDE w:val="0"/>
        <w:autoSpaceDN w:val="0"/>
        <w:snapToGrid/>
        <w:jc w:val="both"/>
        <w:rPr>
          <w:rFonts w:hint="eastAsia" w:ascii="宋体" w:hAnsi="宋体" w:eastAsia="宋体" w:cs="宋体"/>
          <w:color w:val="auto"/>
          <w:sz w:val="21"/>
          <w:szCs w:val="21"/>
        </w:rPr>
      </w:pPr>
      <w:r>
        <w:rPr>
          <w:rFonts w:hint="eastAsia" w:cs="宋体"/>
          <w:color w:val="auto"/>
          <w:sz w:val="21"/>
          <w:szCs w:val="21"/>
          <w:lang w:eastAsia="zh-CN"/>
        </w:rPr>
        <w:t>宜</w:t>
      </w:r>
      <w:r>
        <w:rPr>
          <w:rFonts w:hint="eastAsia" w:ascii="宋体" w:hAnsi="宋体" w:eastAsia="宋体" w:cs="宋体"/>
          <w:color w:val="auto"/>
          <w:sz w:val="21"/>
          <w:szCs w:val="21"/>
        </w:rPr>
        <w:t>充分利用建筑屋顶资源，规模化布置分布式光伏发电系统。</w:t>
      </w:r>
    </w:p>
    <w:p w14:paraId="3A8B1752">
      <w:pPr>
        <w:pStyle w:val="58"/>
        <w:widowControl w:val="0"/>
        <w:numPr>
          <w:ilvl w:val="1"/>
          <w:numId w:val="2"/>
        </w:numPr>
        <w:wordWrap w:val="0"/>
        <w:autoSpaceDE w:val="0"/>
        <w:autoSpaceDN w:val="0"/>
        <w:snapToGrid/>
        <w:jc w:val="both"/>
        <w:rPr>
          <w:rFonts w:hint="eastAsia" w:ascii="宋体" w:hAnsi="宋体" w:eastAsia="宋体" w:cs="宋体"/>
          <w:color w:val="auto"/>
          <w:sz w:val="21"/>
          <w:szCs w:val="21"/>
        </w:rPr>
      </w:pPr>
      <w:r>
        <w:rPr>
          <w:rFonts w:hint="eastAsia" w:ascii="宋体" w:hAnsi="宋体" w:eastAsia="宋体" w:cs="宋体"/>
          <w:color w:val="auto"/>
          <w:sz w:val="21"/>
          <w:szCs w:val="21"/>
        </w:rPr>
        <w:t>内部货物转运、城乡配送等环节</w:t>
      </w:r>
      <w:r>
        <w:rPr>
          <w:rFonts w:hint="eastAsia" w:cs="宋体"/>
          <w:color w:val="auto"/>
          <w:sz w:val="21"/>
          <w:szCs w:val="21"/>
          <w:lang w:eastAsia="zh-CN"/>
        </w:rPr>
        <w:t>宜</w:t>
      </w:r>
      <w:r>
        <w:rPr>
          <w:rFonts w:hint="eastAsia" w:ascii="宋体" w:hAnsi="宋体" w:eastAsia="宋体" w:cs="宋体"/>
          <w:color w:val="auto"/>
          <w:sz w:val="21"/>
          <w:szCs w:val="21"/>
        </w:rPr>
        <w:t>使用纯电动、</w:t>
      </w:r>
      <w:r>
        <w:rPr>
          <w:rFonts w:hint="eastAsia" w:cs="宋体"/>
          <w:strike w:val="0"/>
          <w:dstrike w:val="0"/>
          <w:color w:val="auto"/>
          <w:sz w:val="21"/>
          <w:szCs w:val="21"/>
          <w:lang w:eastAsia="zh-CN"/>
        </w:rPr>
        <w:t>电池燃料</w:t>
      </w:r>
      <w:r>
        <w:rPr>
          <w:rFonts w:hint="eastAsia" w:ascii="宋体" w:hAnsi="宋体" w:eastAsia="宋体" w:cs="宋体"/>
          <w:color w:val="auto"/>
          <w:sz w:val="21"/>
          <w:szCs w:val="21"/>
        </w:rPr>
        <w:t>等新能源物流车辆。</w:t>
      </w:r>
    </w:p>
    <w:p w14:paraId="4D9AA464">
      <w:pPr>
        <w:pStyle w:val="58"/>
        <w:widowControl w:val="0"/>
        <w:numPr>
          <w:ilvl w:val="1"/>
          <w:numId w:val="2"/>
        </w:numPr>
        <w:wordWrap w:val="0"/>
        <w:autoSpaceDE w:val="0"/>
        <w:autoSpaceDN w:val="0"/>
        <w:snapToGrid/>
        <w:jc w:val="both"/>
        <w:rPr>
          <w:color w:val="auto"/>
        </w:rPr>
      </w:pPr>
      <w:r>
        <w:rPr>
          <w:rFonts w:hint="eastAsia" w:cs="宋体"/>
          <w:color w:val="auto"/>
          <w:sz w:val="21"/>
          <w:szCs w:val="21"/>
          <w:lang w:eastAsia="zh-CN"/>
        </w:rPr>
        <w:t>应</w:t>
      </w:r>
      <w:r>
        <w:rPr>
          <w:rFonts w:hint="eastAsia" w:ascii="宋体" w:hAnsi="宋体" w:eastAsia="宋体" w:cs="宋体"/>
          <w:color w:val="auto"/>
          <w:sz w:val="21"/>
          <w:szCs w:val="21"/>
        </w:rPr>
        <w:t>全面推行生活垃圾分类收集、分类运输与分类处理，规划配套建设符合标准的小型垃圾转运站。</w:t>
      </w:r>
    </w:p>
    <w:p w14:paraId="1E65E149">
      <w:pPr>
        <w:pStyle w:val="58"/>
        <w:widowControl w:val="0"/>
        <w:numPr>
          <w:ilvl w:val="0"/>
          <w:numId w:val="0"/>
        </w:numPr>
        <w:wordWrap w:val="0"/>
        <w:autoSpaceDE w:val="0"/>
        <w:autoSpaceDN w:val="0"/>
        <w:snapToGrid/>
        <w:ind w:leftChars="0"/>
        <w:jc w:val="both"/>
        <w:rPr>
          <w:rFonts w:hint="eastAsia" w:ascii="宋体" w:hAnsi="宋体" w:eastAsia="宋体" w:cs="宋体"/>
          <w:sz w:val="21"/>
          <w:szCs w:val="21"/>
        </w:rPr>
      </w:pPr>
    </w:p>
    <w:p w14:paraId="7772F910">
      <w:pPr>
        <w:pStyle w:val="58"/>
        <w:widowControl w:val="0"/>
        <w:numPr>
          <w:ilvl w:val="0"/>
          <w:numId w:val="0"/>
        </w:numPr>
        <w:wordWrap w:val="0"/>
        <w:autoSpaceDE w:val="0"/>
        <w:autoSpaceDN w:val="0"/>
        <w:snapToGrid/>
        <w:ind w:leftChars="0"/>
        <w:jc w:val="both"/>
        <w:rPr>
          <w:rFonts w:hint="eastAsia" w:cs="宋体"/>
          <w:sz w:val="21"/>
          <w:szCs w:val="21"/>
          <w:lang w:eastAsia="zh-CN"/>
        </w:rPr>
      </w:pPr>
    </w:p>
    <w:p w14:paraId="37813977">
      <w:pPr>
        <w:pStyle w:val="58"/>
        <w:widowControl w:val="0"/>
        <w:numPr>
          <w:ilvl w:val="0"/>
          <w:numId w:val="0"/>
        </w:numPr>
        <w:wordWrap w:val="0"/>
        <w:autoSpaceDE w:val="0"/>
        <w:autoSpaceDN w:val="0"/>
        <w:snapToGrid/>
        <w:ind w:leftChars="0"/>
        <w:jc w:val="both"/>
        <w:rPr>
          <w:rFonts w:hint="eastAsia" w:cs="宋体"/>
          <w:sz w:val="21"/>
          <w:szCs w:val="21"/>
          <w:lang w:eastAsia="zh-CN"/>
        </w:rPr>
      </w:pPr>
    </w:p>
    <w:p w14:paraId="6DDFFF4E">
      <w:pPr>
        <w:pStyle w:val="58"/>
        <w:widowControl w:val="0"/>
        <w:numPr>
          <w:ilvl w:val="0"/>
          <w:numId w:val="0"/>
        </w:numPr>
        <w:wordWrap w:val="0"/>
        <w:autoSpaceDE w:val="0"/>
        <w:autoSpaceDN w:val="0"/>
        <w:snapToGrid/>
        <w:spacing w:before="0" w:beforeLines="0" w:after="0" w:afterLines="0"/>
        <w:jc w:val="both"/>
        <w:rPr>
          <w:rFonts w:hint="eastAsia" w:ascii="宋体" w:hAnsi="宋体" w:eastAsia="宋体" w:cs="宋体"/>
          <w:sz w:val="21"/>
          <w:szCs w:val="21"/>
        </w:rPr>
      </w:pPr>
    </w:p>
    <w:p w14:paraId="47692C02">
      <w:pPr>
        <w:rPr>
          <w:rFonts w:hint="eastAsia" w:ascii="宋体" w:hAnsi="宋体" w:eastAsia="宋体" w:cs="宋体"/>
          <w:sz w:val="21"/>
          <w:szCs w:val="21"/>
        </w:rPr>
      </w:pPr>
      <w:r>
        <w:rPr>
          <w:rFonts w:hint="eastAsia" w:ascii="宋体" w:hAnsi="宋体" w:eastAsia="宋体" w:cs="宋体"/>
          <w:sz w:val="21"/>
          <w:szCs w:val="21"/>
        </w:rPr>
        <w:br w:type="page"/>
      </w:r>
    </w:p>
    <w:p w14:paraId="31286B8B">
      <w:pPr>
        <w:pStyle w:val="58"/>
        <w:widowControl w:val="0"/>
        <w:numPr>
          <w:ilvl w:val="0"/>
          <w:numId w:val="0"/>
        </w:numPr>
        <w:wordWrap w:val="0"/>
        <w:autoSpaceDE w:val="0"/>
        <w:autoSpaceDN w:val="0"/>
        <w:snapToGrid/>
        <w:spacing w:before="0" w:beforeLines="0" w:after="0" w:afterLines="0"/>
        <w:jc w:val="both"/>
        <w:rPr>
          <w:rFonts w:hint="eastAsia" w:ascii="宋体" w:hAnsi="宋体" w:eastAsia="宋体" w:cs="宋体"/>
          <w:sz w:val="21"/>
          <w:szCs w:val="21"/>
        </w:rPr>
      </w:pPr>
    </w:p>
    <w:p w14:paraId="149B7D74">
      <w:pPr>
        <w:pStyle w:val="70"/>
        <w:spacing w:after="156"/>
      </w:pPr>
      <w:bookmarkStart w:id="36" w:name="_Toc18065"/>
      <w:r>
        <w:rPr>
          <w:rFonts w:hint="eastAsia"/>
          <w:spacing w:val="105"/>
        </w:rPr>
        <w:t>参考文</w:t>
      </w:r>
      <w:r>
        <w:rPr>
          <w:rFonts w:hint="eastAsia"/>
        </w:rPr>
        <w:t>献</w:t>
      </w:r>
      <w:bookmarkEnd w:id="36"/>
    </w:p>
    <w:p w14:paraId="72320BFC">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GB/T 28577 冷链物流分类与基本要求</w:t>
      </w:r>
    </w:p>
    <w:p w14:paraId="1275145E">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GB/T 31080 水产品冷链物流服务规范</w:t>
      </w:r>
    </w:p>
    <w:p w14:paraId="06D19F10">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GB/T 31086 物流企业冷链服务能力要求与评估指标</w:t>
      </w:r>
    </w:p>
    <w:p w14:paraId="7DA2D3BC">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GB/T 33129 新鲜水果、蔬菜包装和冷链运输通用操作规程</w:t>
      </w:r>
    </w:p>
    <w:p w14:paraId="2C1D2DA8">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GB/T 45442 冷链物流统计指标体系</w:t>
      </w:r>
    </w:p>
    <w:p w14:paraId="7E56AFB0">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NY/T 2534 生鲜肉冷链物流技术规范</w:t>
      </w:r>
    </w:p>
    <w:p w14:paraId="22AF38E6">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NY/T 4285 生鲜果品冷链物流技术规范</w:t>
      </w:r>
    </w:p>
    <w:p w14:paraId="6FCE7116">
      <w:pPr>
        <w:pStyle w:val="71"/>
        <w:numPr>
          <w:ilvl w:val="0"/>
          <w:numId w:val="4"/>
        </w:numPr>
        <w:rPr>
          <w:rFonts w:hint="eastAsia" w:ascii="宋体" w:hAnsi="宋体" w:eastAsia="宋体" w:cs="宋体"/>
          <w:color w:val="auto"/>
          <w:sz w:val="21"/>
          <w:szCs w:val="21"/>
        </w:rPr>
      </w:pPr>
      <w:r>
        <w:rPr>
          <w:rFonts w:hint="eastAsia"/>
          <w:color w:val="auto"/>
        </w:rPr>
        <w:t>中共中央 国务院.关于新时代推动中部地区高质量发展的意见（2021年4月23日）</w:t>
      </w:r>
      <w:bookmarkStart w:id="37" w:name="_GoBack"/>
      <w:bookmarkEnd w:id="37"/>
    </w:p>
    <w:p w14:paraId="4A5ECCB8">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国务院办公厅.“十四五”现代物流发展规划(国办发〔2022〕17号)</w:t>
      </w:r>
    </w:p>
    <w:p w14:paraId="5F4F3A7A">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国家发展和改革委员会、交通运输部等24部门.关于推动物流高质量发展促进形成强大国内市场的意见(发改经贸〔2019〕352号)</w:t>
      </w:r>
    </w:p>
    <w:p w14:paraId="46439E94">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国家发展改革委,交通运输部.国家物流枢纽布局和建设规划(发改经贸〔2018〕1886号)</w:t>
      </w:r>
    </w:p>
    <w:p w14:paraId="7384660B">
      <w:pPr>
        <w:pStyle w:val="71"/>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商务部等9部门.商贸物流高质量发展专项行动计划（2021-2025年）</w:t>
      </w:r>
    </w:p>
    <w:p w14:paraId="58699FB2">
      <w:pPr>
        <w:pStyle w:val="71"/>
        <w:numPr>
          <w:ilvl w:val="0"/>
          <w:numId w:val="0"/>
        </w:numPr>
        <w:rPr>
          <w:rFonts w:hint="eastAsia" w:ascii="宋体" w:hAnsi="宋体" w:eastAsia="宋体" w:cs="宋体"/>
          <w:sz w:val="21"/>
          <w:szCs w:val="21"/>
        </w:rPr>
      </w:pPr>
    </w:p>
    <w:p w14:paraId="07632BEB">
      <w:pPr>
        <w:pStyle w:val="58"/>
        <w:widowControl w:val="0"/>
        <w:numPr>
          <w:ilvl w:val="0"/>
          <w:numId w:val="0"/>
        </w:numPr>
        <w:wordWrap w:val="0"/>
        <w:autoSpaceDE w:val="0"/>
        <w:autoSpaceDN w:val="0"/>
        <w:snapToGrid/>
        <w:spacing w:before="0" w:beforeLines="0" w:after="0" w:afterLines="0"/>
        <w:jc w:val="both"/>
        <w:rPr>
          <w:rFonts w:hint="eastAsia" w:ascii="宋体" w:hAnsi="宋体" w:eastAsia="宋体" w:cs="宋体"/>
          <w:sz w:val="21"/>
          <w:szCs w:val="21"/>
        </w:rPr>
      </w:pPr>
    </w:p>
    <w:p w14:paraId="7A7A9AC8">
      <w:pPr>
        <w:pStyle w:val="58"/>
        <w:widowControl w:val="0"/>
        <w:numPr>
          <w:ilvl w:val="0"/>
          <w:numId w:val="0"/>
        </w:numPr>
        <w:wordWrap w:val="0"/>
        <w:autoSpaceDE w:val="0"/>
        <w:autoSpaceDN w:val="0"/>
        <w:snapToGrid/>
        <w:spacing w:before="0" w:beforeLines="0" w:after="0" w:afterLines="0"/>
        <w:jc w:val="center"/>
        <w:rPr>
          <w:rFonts w:hint="eastAsia" w:ascii="宋体" w:hAnsi="宋体" w:eastAsia="宋体" w:cs="宋体"/>
          <w:sz w:val="21"/>
          <w:szCs w:val="21"/>
        </w:rPr>
      </w:pPr>
      <w:r>
        <w:drawing>
          <wp:inline distT="0" distB="0" distL="114300" distR="114300">
            <wp:extent cx="1487170" cy="316865"/>
            <wp:effectExtent l="0" t="0" r="17780" b="698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4"/>
                    <a:stretch>
                      <a:fillRect/>
                    </a:stretch>
                  </pic:blipFill>
                  <pic:spPr>
                    <a:xfrm>
                      <a:off x="0" y="0"/>
                      <a:ext cx="1487170" cy="316865"/>
                    </a:xfrm>
                    <a:prstGeom prst="rect">
                      <a:avLst/>
                    </a:prstGeom>
                    <a:noFill/>
                    <a:ln>
                      <a:noFill/>
                    </a:ln>
                  </pic:spPr>
                </pic:pic>
              </a:graphicData>
            </a:graphic>
          </wp:inline>
        </w:drawing>
      </w:r>
    </w:p>
    <w:sectPr>
      <w:headerReference r:id="rId10" w:type="default"/>
      <w:footerReference r:id="rId11" w:type="default"/>
      <w:footerReference r:id="rId12" w:type="even"/>
      <w:pgSz w:w="11906" w:h="16838"/>
      <w:pgMar w:top="1417" w:right="1134" w:bottom="1134" w:left="1417" w:header="850"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64B8C">
    <w:pPr>
      <w:pStyle w:val="10"/>
      <w:jc w:val="right"/>
      <w:rPr>
        <w:rFonts w:hint="default" w:ascii="Times New Roman" w:hAnsi="Times New Roman" w:cs="Times New Roman"/>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E3CA3">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8BE3CA3">
                    <w:pPr>
                      <w:pStyle w:val="10"/>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5657215</wp:posOffset>
              </wp:positionH>
              <wp:positionV relativeFrom="paragraph">
                <wp:posOffset>0</wp:posOffset>
              </wp:positionV>
              <wp:extent cx="200025"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000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08DC1">
                          <w:pPr>
                            <w:pStyle w:val="10"/>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45pt;margin-top:0pt;height:144pt;width:15.75pt;mso-position-horizontal-relative:margin;z-index:251661312;mso-width-relative:page;mso-height-relative:page;" filled="f" stroked="f" coordsize="21600,21600" o:gfxdata="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vhatHWAAAACAEAAA8AAAAAAAAAAQAgAAAAIgAAAGRycy9kb3ducmV2&#10;LnhtbFBLAQIUABQAAAAIAIdO4kDtCWm5NwIAAGQEAAAOAAAAAAAAAAEAIAAAACUBAABkcnMvZTJv&#10;RG9jLnhtbFBLBQYAAAAABgAGAFkBAADOBQAAAAA=&#10;">
              <v:fill on="f" focussize="0,0"/>
              <v:stroke on="f" weight="0.5pt"/>
              <v:imagedata o:title=""/>
              <o:lock v:ext="edit" aspectratio="f"/>
              <v:textbox inset="0mm,0mm,0mm,0mm" style="mso-fit-shape-to-text:t;">
                <w:txbxContent>
                  <w:p w14:paraId="34908DC1">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31B1">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10549">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6910549">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95FCB">
    <w:pPr>
      <w:pStyle w:val="10"/>
      <w:jc w:val="right"/>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39303">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BF39303">
                    <w:pPr>
                      <w:pStyle w:val="10"/>
                    </w:pPr>
                    <w:r>
                      <w:fldChar w:fldCharType="begin"/>
                    </w:r>
                    <w:r>
                      <w:instrText xml:space="preserve"> PAGE  \* MERGEFORMAT </w:instrText>
                    </w:r>
                    <w:r>
                      <w:fldChar w:fldCharType="separate"/>
                    </w:r>
                    <w:r>
                      <w:t>I</w:t>
                    </w:r>
                    <w:r>
                      <w:fldChar w:fldCharType="end"/>
                    </w:r>
                  </w:p>
                </w:txbxContent>
              </v:textbox>
            </v:shape>
          </w:pict>
        </mc:Fallback>
      </mc:AlternateContent>
    </w:r>
    <w:r>
      <w:rPr>
        <w:rFonts w:hint="default" w:ascii="宋体" w:hAnsi="宋体" w:cs="宋体"/>
        <w:b w:val="0"/>
        <w:bCs/>
        <w:sz w:val="18"/>
        <w:szCs w:val="18"/>
        <w:lang w:val="en-US" w:eastAsia="zh-CN"/>
      </w:rPr>
      <w:t>Ⅱ</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3FEB">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040F0">
                          <w:pPr>
                            <w:pStyle w:val="1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26040F0">
                    <w:pPr>
                      <w:pStyle w:val="1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5A93">
    <w:pPr>
      <w:pStyle w:val="10"/>
      <w:jc w:val="right"/>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38D69">
                          <w:pPr>
                            <w:pStyle w:val="10"/>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CF38D69">
                    <w:pPr>
                      <w:pStyle w:val="10"/>
                    </w:pPr>
                    <w:r>
                      <w:fldChar w:fldCharType="begin"/>
                    </w:r>
                    <w:r>
                      <w:instrText xml:space="preserve"> PAGE  \* MERGEFORMAT </w:instrText>
                    </w:r>
                    <w:r>
                      <w:fldChar w:fldCharType="separate"/>
                    </w:r>
                    <w:r>
                      <w:t>V</w:t>
                    </w:r>
                    <w:r>
                      <w:fldChar w:fldCharType="end"/>
                    </w:r>
                  </w:p>
                </w:txbxContent>
              </v:textbox>
            </v:shape>
          </w:pict>
        </mc:Fallback>
      </mc:AlternateContent>
    </w:r>
    <w:r>
      <w:rPr>
        <w:rFonts w:hint="default" w:ascii="宋体" w:hAnsi="宋体" w:cs="宋体"/>
        <w:b w:val="0"/>
        <w:bCs/>
        <w:sz w:val="18"/>
        <w:szCs w:val="18"/>
        <w:lang w:val="en-US" w:eastAsia="zh-CN"/>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CFCF">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E123C">
                          <w:pPr>
                            <w:pStyle w:val="10"/>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5DE123C">
                    <w:pPr>
                      <w:pStyle w:val="10"/>
                    </w:pPr>
                    <w:r>
                      <w:fldChar w:fldCharType="begin"/>
                    </w:r>
                    <w:r>
                      <w:instrText xml:space="preserve"> PAGE  \* MERGEFORMAT </w:instrText>
                    </w:r>
                    <w:r>
                      <w:fldChar w:fldCharType="separate"/>
                    </w:r>
                    <w:r>
                      <w:t>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55CD1">
    <w:pPr>
      <w:wordWrap/>
      <w:spacing w:line="240" w:lineRule="auto"/>
      <w:jc w:val="left"/>
    </w:pPr>
    <w:r>
      <w:rPr>
        <w:rFonts w:hint="eastAsia" w:ascii="黑体" w:hAnsi="黑体" w:cs="黑体"/>
        <w:sz w:val="21"/>
        <w:szCs w:val="21"/>
        <w:lang w:val="en-US" w:eastAsia="zh-CN"/>
      </w:rPr>
      <w:t>T/HBAS xxx</w:t>
    </w:r>
    <w:r>
      <w:rPr>
        <w:rFonts w:hint="default" w:ascii="黑体" w:hAnsi="黑体" w:cs="黑体"/>
        <w:sz w:val="21"/>
        <w:szCs w:val="21"/>
        <w:lang w:val="en-US" w:eastAsia="zh-CN"/>
      </w:rPr>
      <w:t>—202</w:t>
    </w:r>
    <w:r>
      <w:rPr>
        <w:rFonts w:hint="eastAsia" w:ascii="黑体" w:hAnsi="黑体" w:cs="黑体"/>
        <w:sz w:val="21"/>
        <w:szCs w:val="21"/>
        <w:lang w:val="en-US" w:eastAsia="zh-CN"/>
      </w:rPr>
      <w:t>6</w:t>
    </w:r>
  </w:p>
  <w:p w14:paraId="01E1188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D8D7">
    <w:pPr>
      <w:spacing w:line="240" w:lineRule="auto"/>
      <w:jc w:val="right"/>
    </w:pPr>
    <w:r>
      <w:rPr>
        <w:rFonts w:hint="eastAsia" w:ascii="黑体" w:hAnsi="黑体" w:cs="黑体"/>
        <w:sz w:val="21"/>
        <w:szCs w:val="21"/>
        <w:lang w:val="en-US" w:eastAsia="zh-CN"/>
      </w:rPr>
      <w:t>T/HBAS XXX</w:t>
    </w:r>
    <w:r>
      <w:rPr>
        <w:rFonts w:hint="default" w:ascii="黑体" w:hAnsi="黑体" w:cs="黑体"/>
        <w:sz w:val="21"/>
        <w:szCs w:val="21"/>
        <w:lang w:val="en-US" w:eastAsia="zh-CN"/>
      </w:rPr>
      <w:t>—202</w:t>
    </w:r>
    <w:r>
      <w:rPr>
        <w:rFonts w:hint="eastAsia" w:ascii="黑体" w:hAnsi="黑体" w:cs="黑体"/>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91B03">
    <w:pPr>
      <w:spacing w:line="240" w:lineRule="auto"/>
      <w:jc w:val="right"/>
    </w:pPr>
    <w:r>
      <w:rPr>
        <w:rFonts w:hint="eastAsia" w:ascii="黑体" w:hAnsi="黑体" w:cs="黑体"/>
        <w:sz w:val="21"/>
        <w:szCs w:val="21"/>
        <w:lang w:val="en-US" w:eastAsia="zh-CN"/>
      </w:rPr>
      <w:t xml:space="preserve">T/HBAS </w:t>
    </w:r>
    <w:r>
      <w:rPr>
        <w:rFonts w:hint="default" w:ascii="黑体" w:hAnsi="黑体" w:cs="黑体"/>
        <w:sz w:val="21"/>
        <w:szCs w:val="21"/>
        <w:lang w:val="en-US" w:eastAsia="zh-CN"/>
      </w:rPr>
      <w:t>000—2025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128F">
    <w:pPr>
      <w:spacing w:line="240" w:lineRule="auto"/>
      <w:jc w:val="right"/>
    </w:pPr>
    <w:r>
      <w:rPr>
        <w:rFonts w:hint="eastAsia" w:ascii="黑体" w:hAnsi="黑体" w:cs="黑体"/>
        <w:sz w:val="21"/>
        <w:szCs w:val="21"/>
        <w:lang w:val="en-US" w:eastAsia="zh-CN"/>
      </w:rPr>
      <w:t>T/HBAS XXX</w:t>
    </w:r>
    <w:r>
      <w:rPr>
        <w:rFonts w:hint="default" w:ascii="黑体" w:hAnsi="黑体" w:cs="黑体"/>
        <w:sz w:val="21"/>
        <w:szCs w:val="21"/>
        <w:lang w:val="en-US" w:eastAsia="zh-CN"/>
      </w:rPr>
      <w:t>—202</w:t>
    </w:r>
    <w:r>
      <w:rPr>
        <w:rFonts w:hint="eastAsia" w:ascii="黑体" w:hAnsi="黑体" w:cs="黑体"/>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none"/>
      <w:lvlText w:val="——"/>
      <w:lvlJc w:val="left"/>
      <w:pPr>
        <w:widowControl w:val="0"/>
        <w:tabs>
          <w:tab w:val="left" w:pos="420"/>
        </w:tabs>
        <w:wordWrap w:val="0"/>
        <w:autoSpaceDE w:val="0"/>
        <w:autoSpaceDN w:val="0"/>
        <w:ind w:left="420" w:leftChars="0"/>
      </w:pPr>
      <w:rPr>
        <w:rFonts w:hint="default" w:ascii="宋体" w:hAnsi="宋体" w:eastAsia="宋体" w:cs="宋体"/>
        <w:snapToGrid w:val="0"/>
        <w:spacing w:val="5"/>
        <w:w w:val="150"/>
        <w:position w:val="5"/>
        <w:sz w:val="13"/>
        <w:szCs w:val="13"/>
      </w:rPr>
    </w:lvl>
  </w:abstractNum>
  <w:abstractNum w:abstractNumId="1">
    <w:nsid w:val="F6C477FA"/>
    <w:multiLevelType w:val="singleLevel"/>
    <w:tmpl w:val="F6C477FA"/>
    <w:lvl w:ilvl="0" w:tentative="0">
      <w:start w:val="1"/>
      <w:numFmt w:val="decimal"/>
      <w:suff w:val="space"/>
      <w:lvlText w:val="[%1]"/>
      <w:lvlJc w:val="left"/>
    </w:lvl>
  </w:abstractNum>
  <w:abstractNum w:abstractNumId="2">
    <w:nsid w:val="0053208E"/>
    <w:multiLevelType w:val="multilevel"/>
    <w:tmpl w:val="0053208E"/>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lvl w:ilvl="3" w:tentative="0">
      <w:start w:val="1"/>
      <w:numFmt w:val="decimal"/>
      <w:suff w:val="space"/>
      <w:lvlText w:val="%1.%2.%3.%4 "/>
      <w:lvlJc w:val="left"/>
      <w:rPr>
        <w:rFonts w:hint="default" w:ascii="黑体" w:hAnsi="黑体" w:eastAsia="黑体" w:cs="黑体"/>
        <w:snapToGrid w:val="0"/>
        <w:sz w:val="21"/>
        <w:szCs w:val="21"/>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8"/>
      <w:suff w:val="nothing"/>
      <w:lvlText w:val="%1%2　"/>
      <w:lvlJc w:val="left"/>
      <w:pPr>
        <w:ind w:left="0" w:firstLine="0"/>
      </w:pPr>
      <w:rPr>
        <w:rFonts w:hint="eastAsia" w:ascii="黑体" w:eastAsia="黑体"/>
        <w:b w:val="0"/>
        <w:i w:val="0"/>
        <w:sz w:val="21"/>
      </w:rPr>
    </w:lvl>
    <w:lvl w:ilvl="2" w:tentative="0">
      <w:start w:val="1"/>
      <w:numFmt w:val="decimal"/>
      <w:pStyle w:val="6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2"/>
      <w:suff w:val="nothing"/>
      <w:lvlText w:val="%1%2.%3.%4　"/>
      <w:lvlJc w:val="left"/>
      <w:pPr>
        <w:ind w:left="99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CA"/>
    <w:rsid w:val="000331AF"/>
    <w:rsid w:val="00525FCA"/>
    <w:rsid w:val="007E6C16"/>
    <w:rsid w:val="008D1653"/>
    <w:rsid w:val="00991482"/>
    <w:rsid w:val="00AE35B7"/>
    <w:rsid w:val="00CC66AF"/>
    <w:rsid w:val="00CF1E78"/>
    <w:rsid w:val="00D16F00"/>
    <w:rsid w:val="00DC0B22"/>
    <w:rsid w:val="00E26651"/>
    <w:rsid w:val="00E33232"/>
    <w:rsid w:val="00F36E21"/>
    <w:rsid w:val="00FB47B8"/>
    <w:rsid w:val="01D84888"/>
    <w:rsid w:val="01E54008"/>
    <w:rsid w:val="02B61D76"/>
    <w:rsid w:val="03004097"/>
    <w:rsid w:val="03CF69FF"/>
    <w:rsid w:val="058E35AC"/>
    <w:rsid w:val="07A86AAB"/>
    <w:rsid w:val="090701A2"/>
    <w:rsid w:val="09671EA2"/>
    <w:rsid w:val="098175B4"/>
    <w:rsid w:val="09D260D8"/>
    <w:rsid w:val="0B3F575F"/>
    <w:rsid w:val="0BFE7A97"/>
    <w:rsid w:val="0C3D42AE"/>
    <w:rsid w:val="0D405F42"/>
    <w:rsid w:val="0DC21CB9"/>
    <w:rsid w:val="10A2678D"/>
    <w:rsid w:val="117C21F3"/>
    <w:rsid w:val="131363AF"/>
    <w:rsid w:val="13C4457F"/>
    <w:rsid w:val="14CA5CFF"/>
    <w:rsid w:val="14FE49E3"/>
    <w:rsid w:val="167801ED"/>
    <w:rsid w:val="170D06D9"/>
    <w:rsid w:val="1A8A22DC"/>
    <w:rsid w:val="1E4654EC"/>
    <w:rsid w:val="1E9B2A6E"/>
    <w:rsid w:val="1E9F5EE9"/>
    <w:rsid w:val="1F330EF8"/>
    <w:rsid w:val="1F576995"/>
    <w:rsid w:val="201C7BDE"/>
    <w:rsid w:val="23192EA4"/>
    <w:rsid w:val="234C07DB"/>
    <w:rsid w:val="2355694E"/>
    <w:rsid w:val="23BA4478"/>
    <w:rsid w:val="242A6A39"/>
    <w:rsid w:val="24911F66"/>
    <w:rsid w:val="24AF1021"/>
    <w:rsid w:val="25455653"/>
    <w:rsid w:val="27D83146"/>
    <w:rsid w:val="28321134"/>
    <w:rsid w:val="285A344B"/>
    <w:rsid w:val="289A6582"/>
    <w:rsid w:val="28B011C9"/>
    <w:rsid w:val="29C96021"/>
    <w:rsid w:val="2A125EC5"/>
    <w:rsid w:val="2AC073E7"/>
    <w:rsid w:val="2BF71372"/>
    <w:rsid w:val="2C010CE4"/>
    <w:rsid w:val="2C6027D7"/>
    <w:rsid w:val="2CA90A4C"/>
    <w:rsid w:val="2E7C0C48"/>
    <w:rsid w:val="2E871C59"/>
    <w:rsid w:val="2F814263"/>
    <w:rsid w:val="2F8B290C"/>
    <w:rsid w:val="305331A8"/>
    <w:rsid w:val="329B4F34"/>
    <w:rsid w:val="336124DA"/>
    <w:rsid w:val="34A8074F"/>
    <w:rsid w:val="351F3D24"/>
    <w:rsid w:val="358B263D"/>
    <w:rsid w:val="35CC45F8"/>
    <w:rsid w:val="35E37C3D"/>
    <w:rsid w:val="36CD4475"/>
    <w:rsid w:val="394B6819"/>
    <w:rsid w:val="3A322081"/>
    <w:rsid w:val="3B133C60"/>
    <w:rsid w:val="3B455DE4"/>
    <w:rsid w:val="3BDE4EFA"/>
    <w:rsid w:val="3C0D4B53"/>
    <w:rsid w:val="3D587C71"/>
    <w:rsid w:val="3E7528BB"/>
    <w:rsid w:val="40301595"/>
    <w:rsid w:val="4461674D"/>
    <w:rsid w:val="47AF1EA3"/>
    <w:rsid w:val="48476FE9"/>
    <w:rsid w:val="4A2F2139"/>
    <w:rsid w:val="4AA5718A"/>
    <w:rsid w:val="4B9B28E4"/>
    <w:rsid w:val="4C325F10"/>
    <w:rsid w:val="504C4E39"/>
    <w:rsid w:val="50BE3DA5"/>
    <w:rsid w:val="50BE5FC4"/>
    <w:rsid w:val="521A547C"/>
    <w:rsid w:val="544A4A25"/>
    <w:rsid w:val="579B3999"/>
    <w:rsid w:val="59E539BC"/>
    <w:rsid w:val="5A102F20"/>
    <w:rsid w:val="5B701578"/>
    <w:rsid w:val="5D7D3014"/>
    <w:rsid w:val="5FA171DD"/>
    <w:rsid w:val="633F11E7"/>
    <w:rsid w:val="662607E8"/>
    <w:rsid w:val="663743F7"/>
    <w:rsid w:val="68751AA8"/>
    <w:rsid w:val="68EC771B"/>
    <w:rsid w:val="69A949A2"/>
    <w:rsid w:val="6B3E1153"/>
    <w:rsid w:val="6BFA00AB"/>
    <w:rsid w:val="6D2A511A"/>
    <w:rsid w:val="6E355EE3"/>
    <w:rsid w:val="6E6F5DCD"/>
    <w:rsid w:val="7072709A"/>
    <w:rsid w:val="70A77558"/>
    <w:rsid w:val="70F13460"/>
    <w:rsid w:val="719E17CE"/>
    <w:rsid w:val="72860731"/>
    <w:rsid w:val="73C7536F"/>
    <w:rsid w:val="74017DF2"/>
    <w:rsid w:val="746225D8"/>
    <w:rsid w:val="747B5DF7"/>
    <w:rsid w:val="74904E6B"/>
    <w:rsid w:val="74AF129E"/>
    <w:rsid w:val="760439A1"/>
    <w:rsid w:val="766034F6"/>
    <w:rsid w:val="7A0F14BB"/>
    <w:rsid w:val="7AB43E11"/>
    <w:rsid w:val="7E9957F7"/>
    <w:rsid w:val="7EEB1974"/>
    <w:rsid w:val="7FAA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widowControl w:val="0"/>
      <w:wordWrap w:val="0"/>
      <w:autoSpaceDE w:val="0"/>
      <w:autoSpaceDN w:val="0"/>
      <w:spacing w:before="340" w:after="330" w:line="576" w:lineRule="auto"/>
      <w:outlineLvl w:val="0"/>
    </w:pPr>
    <w:rPr>
      <w:b/>
      <w:kern w:val="44"/>
      <w:sz w:val="44"/>
    </w:rPr>
  </w:style>
  <w:style w:type="paragraph" w:styleId="4">
    <w:name w:val="heading 2"/>
    <w:basedOn w:val="1"/>
    <w:next w:val="1"/>
    <w:link w:val="26"/>
    <w:unhideWhenUsed/>
    <w:qFormat/>
    <w:uiPriority w:val="0"/>
    <w:pPr>
      <w:keepNext/>
      <w:keepLines/>
      <w:widowControl w:val="0"/>
      <w:wordWrap w:val="0"/>
      <w:autoSpaceDE w:val="0"/>
      <w:autoSpaceDN w:val="0"/>
      <w:spacing w:before="260" w:after="26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0" w:type="dxa"/>
        <w:bottom w:w="0" w:type="dxa"/>
        <w:right w:w="100" w:type="dxa"/>
      </w:tblCellMar>
    </w:tblPr>
  </w:style>
  <w:style w:type="paragraph" w:styleId="2">
    <w:name w:val="Body Text Indent 2"/>
    <w:basedOn w:val="1"/>
    <w:unhideWhenUsed/>
    <w:qFormat/>
    <w:uiPriority w:val="99"/>
    <w:rPr>
      <w:rFonts w:eastAsia="仿宋_GB2312"/>
    </w:rPr>
  </w:style>
  <w:style w:type="paragraph" w:styleId="5">
    <w:name w:val="caption"/>
    <w:basedOn w:val="1"/>
    <w:next w:val="1"/>
    <w:link w:val="24"/>
    <w:semiHidden/>
    <w:unhideWhenUsed/>
    <w:qFormat/>
    <w:uiPriority w:val="35"/>
    <w:rPr>
      <w:rFonts w:ascii="Arial" w:hAnsi="Arial" w:eastAsia="黑体"/>
      <w:sz w:val="20"/>
    </w:rPr>
  </w:style>
  <w:style w:type="paragraph" w:styleId="6">
    <w:name w:val="annotation text"/>
    <w:basedOn w:val="1"/>
    <w:link w:val="31"/>
    <w:semiHidden/>
    <w:unhideWhenUsed/>
    <w:qFormat/>
    <w:uiPriority w:val="99"/>
    <w:pPr>
      <w:widowControl w:val="0"/>
      <w:wordWrap w:val="0"/>
      <w:autoSpaceDE w:val="0"/>
      <w:autoSpaceDN w:val="0"/>
      <w:jc w:val="left"/>
    </w:pPr>
  </w:style>
  <w:style w:type="paragraph" w:styleId="7">
    <w:name w:val="toc 5"/>
    <w:semiHidden/>
    <w:qFormat/>
    <w:uiPriority w:val="0"/>
    <w:pPr>
      <w:widowControl w:val="0"/>
      <w:tabs>
        <w:tab w:val="right" w:leader="dot" w:pos="9241"/>
      </w:tabs>
      <w:wordWrap w:val="0"/>
      <w:autoSpaceDE w:val="0"/>
      <w:autoSpaceDN w:val="0"/>
      <w:ind w:firstLine="400" w:firstLineChars="400"/>
      <w:jc w:val="left"/>
    </w:pPr>
    <w:rPr>
      <w:rFonts w:ascii="宋体" w:hAnsi="宋体" w:eastAsia="宋体" w:cs="Times New Roman"/>
      <w:lang w:val="en-US" w:eastAsia="zh-CN" w:bidi="ar-SA"/>
    </w:rPr>
  </w:style>
  <w:style w:type="paragraph" w:styleId="8">
    <w:name w:val="toc 3"/>
    <w:semiHidden/>
    <w:qFormat/>
    <w:uiPriority w:val="0"/>
    <w:pPr>
      <w:widowControl w:val="0"/>
      <w:tabs>
        <w:tab w:val="right" w:leader="dot" w:pos="9241"/>
      </w:tabs>
      <w:wordWrap w:val="0"/>
      <w:autoSpaceDE w:val="0"/>
      <w:autoSpaceDN w:val="0"/>
      <w:ind w:firstLine="200" w:firstLineChars="200"/>
      <w:jc w:val="left"/>
    </w:pPr>
    <w:rPr>
      <w:rFonts w:ascii="宋体" w:hAnsi="宋体" w:eastAsia="宋体" w:cs="Times New Roman"/>
      <w:lang w:val="en-US" w:eastAsia="zh-CN" w:bidi="ar-SA"/>
    </w:rPr>
  </w:style>
  <w:style w:type="paragraph" w:styleId="9">
    <w:name w:val="Balloon Text"/>
    <w:basedOn w:val="1"/>
    <w:link w:val="33"/>
    <w:semiHidden/>
    <w:unhideWhenUsed/>
    <w:qFormat/>
    <w:uiPriority w:val="99"/>
    <w:rPr>
      <w:sz w:val="18"/>
      <w:szCs w:val="18"/>
    </w:rPr>
  </w:style>
  <w:style w:type="paragraph" w:styleId="10">
    <w:name w:val="footer"/>
    <w:basedOn w:val="1"/>
    <w:unhideWhenUsed/>
    <w:qFormat/>
    <w:uiPriority w:val="99"/>
    <w:pPr>
      <w:widowControl w:val="0"/>
      <w:tabs>
        <w:tab w:val="center" w:pos="4153"/>
        <w:tab w:val="right" w:pos="8306"/>
      </w:tabs>
      <w:wordWrap w:val="0"/>
      <w:autoSpaceDE w:val="0"/>
      <w:autoSpaceDN w:val="0"/>
      <w:jc w:val="right"/>
    </w:pPr>
    <w:rPr>
      <w:sz w:val="18"/>
      <w:szCs w:val="18"/>
    </w:rPr>
  </w:style>
  <w:style w:type="paragraph" w:styleId="11">
    <w:name w:val="header"/>
    <w:basedOn w:val="10"/>
    <w:link w:val="27"/>
    <w:unhideWhenUsed/>
    <w:qFormat/>
    <w:uiPriority w:val="99"/>
    <w:pPr>
      <w:widowControl w:val="0"/>
      <w:pBdr>
        <w:bottom w:val="single" w:color="auto" w:sz="6" w:space="1"/>
      </w:pBdr>
      <w:wordWrap w:val="0"/>
      <w:autoSpaceDE w:val="0"/>
      <w:autoSpaceDN w:val="0"/>
      <w:snapToGrid w:val="0"/>
      <w:jc w:val="center"/>
    </w:pPr>
    <w:rPr>
      <w:sz w:val="18"/>
      <w:szCs w:val="18"/>
    </w:rPr>
  </w:style>
  <w:style w:type="paragraph" w:styleId="12">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3">
    <w:name w:val="toc 4"/>
    <w:semiHidden/>
    <w:qFormat/>
    <w:uiPriority w:val="0"/>
    <w:pPr>
      <w:widowControl w:val="0"/>
      <w:tabs>
        <w:tab w:val="right" w:leader="dot" w:pos="9241"/>
      </w:tabs>
      <w:wordWrap w:val="0"/>
      <w:autoSpaceDE w:val="0"/>
      <w:autoSpaceDN w:val="0"/>
      <w:ind w:firstLine="300" w:firstLineChars="300"/>
      <w:jc w:val="left"/>
    </w:pPr>
    <w:rPr>
      <w:rFonts w:ascii="宋体" w:hAnsi="宋体" w:eastAsia="宋体" w:cs="Times New Roman"/>
      <w:lang w:val="en-US" w:eastAsia="zh-CN" w:bidi="ar-SA"/>
    </w:rPr>
  </w:style>
  <w:style w:type="paragraph" w:styleId="14">
    <w:name w:val="footnote text"/>
    <w:qFormat/>
    <w:uiPriority w:val="0"/>
    <w:pPr>
      <w:widowControl w:val="0"/>
      <w:snapToGrid w:val="0"/>
      <w:ind w:left="635" w:hanging="272"/>
      <w:jc w:val="left"/>
    </w:pPr>
    <w:rPr>
      <w:rFonts w:ascii="宋体" w:hAnsi="Times New Roman" w:eastAsia="宋体" w:cs="Times New Roman"/>
      <w:sz w:val="18"/>
      <w:szCs w:val="18"/>
      <w:lang w:val="en-US" w:eastAsia="zh-CN" w:bidi="ar-SA"/>
    </w:rPr>
  </w:style>
  <w:style w:type="paragraph" w:styleId="15">
    <w:name w:val="toc 2"/>
    <w:semiHidden/>
    <w:qFormat/>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6">
    <w:name w:val="annotation subject"/>
    <w:basedOn w:val="6"/>
    <w:next w:val="6"/>
    <w:link w:val="32"/>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
  </w:style>
  <w:style w:type="character" w:styleId="20">
    <w:name w:val="Strong"/>
    <w:basedOn w:val="19"/>
    <w:qFormat/>
    <w:uiPriority w:val="22"/>
    <w:rPr>
      <w:b/>
    </w:rPr>
  </w:style>
  <w:style w:type="character" w:styleId="21">
    <w:name w:val="Hyperlink"/>
    <w:qFormat/>
    <w:uiPriority w:val="99"/>
    <w:rPr>
      <w:color w:val="0000FF"/>
      <w:spacing w:val="0"/>
      <w:w w:val="100"/>
      <w:szCs w:val="21"/>
      <w:u w:val="single"/>
    </w:rPr>
  </w:style>
  <w:style w:type="character" w:styleId="22">
    <w:name w:val="annotation reference"/>
    <w:basedOn w:val="19"/>
    <w:semiHidden/>
    <w:unhideWhenUsed/>
    <w:qFormat/>
    <w:uiPriority w:val="99"/>
    <w:rPr>
      <w:sz w:val="21"/>
      <w:szCs w:val="21"/>
    </w:rPr>
  </w:style>
  <w:style w:type="character" w:styleId="23">
    <w:name w:val="footnote reference"/>
    <w:basedOn w:val="24"/>
    <w:semiHidden/>
    <w:unhideWhenUsed/>
    <w:qFormat/>
    <w:uiPriority w:val="99"/>
    <w:rPr>
      <w:vertAlign w:val="superscript"/>
    </w:rPr>
  </w:style>
  <w:style w:type="character" w:customStyle="1" w:styleId="24">
    <w:name w:val="脚注文本 字符"/>
    <w:basedOn w:val="19"/>
    <w:link w:val="5"/>
    <w:semiHidden/>
    <w:qFormat/>
    <w:uiPriority w:val="99"/>
    <w:rPr>
      <w:sz w:val="18"/>
      <w:szCs w:val="18"/>
    </w:rPr>
  </w:style>
  <w:style w:type="character" w:customStyle="1" w:styleId="25">
    <w:name w:val="标题 1 Char"/>
    <w:basedOn w:val="19"/>
    <w:link w:val="3"/>
    <w:qFormat/>
    <w:uiPriority w:val="0"/>
    <w:rPr>
      <w:b/>
      <w:kern w:val="44"/>
      <w:sz w:val="44"/>
      <w:szCs w:val="24"/>
    </w:rPr>
  </w:style>
  <w:style w:type="character" w:customStyle="1" w:styleId="26">
    <w:name w:val="标题 2 Char"/>
    <w:basedOn w:val="19"/>
    <w:link w:val="4"/>
    <w:qFormat/>
    <w:uiPriority w:val="0"/>
    <w:rPr>
      <w:rFonts w:ascii="Arial" w:hAnsi="Arial" w:eastAsia="黑体"/>
      <w:b/>
      <w:sz w:val="32"/>
      <w:szCs w:val="24"/>
    </w:rPr>
  </w:style>
  <w:style w:type="character" w:customStyle="1" w:styleId="27">
    <w:name w:val="页眉 Char"/>
    <w:basedOn w:val="19"/>
    <w:link w:val="11"/>
    <w:qFormat/>
    <w:uiPriority w:val="99"/>
    <w:rPr>
      <w:sz w:val="18"/>
      <w:szCs w:val="18"/>
    </w:rPr>
  </w:style>
  <w:style w:type="character" w:customStyle="1" w:styleId="28">
    <w:name w:val="页脚 Char"/>
    <w:basedOn w:val="19"/>
    <w:link w:val="29"/>
    <w:qFormat/>
    <w:uiPriority w:val="99"/>
    <w:rPr>
      <w:sz w:val="18"/>
      <w:szCs w:val="18"/>
    </w:rPr>
  </w:style>
  <w:style w:type="paragraph" w:customStyle="1" w:styleId="29">
    <w:name w:val="图脚注"/>
    <w:link w:val="28"/>
    <w:unhideWhenUsed/>
    <w:qFormat/>
    <w:uiPriority w:val="99"/>
    <w:pPr>
      <w:widowControl w:val="0"/>
      <w:wordWrap w:val="0"/>
      <w:autoSpaceDE w:val="0"/>
      <w:autoSpaceDN w:val="0"/>
      <w:ind w:left="765" w:leftChars="300" w:hanging="135" w:hangingChars="75"/>
      <w:jc w:val="left"/>
    </w:pPr>
    <w:rPr>
      <w:rFonts w:hint="eastAsia" w:ascii="宋体" w:hAnsi="宋体" w:eastAsia="宋体" w:cs="宋体"/>
      <w:sz w:val="18"/>
      <w:szCs w:val="18"/>
      <w:lang w:val="en-US" w:eastAsia="zh-CN" w:bidi="ar-SA"/>
    </w:rPr>
  </w:style>
  <w:style w:type="paragraph" w:styleId="30">
    <w:name w:val="List Paragraph"/>
    <w:basedOn w:val="1"/>
    <w:qFormat/>
    <w:uiPriority w:val="34"/>
    <w:pPr>
      <w:widowControl w:val="0"/>
      <w:wordWrap w:val="0"/>
      <w:autoSpaceDE w:val="0"/>
      <w:autoSpaceDN w:val="0"/>
      <w:ind w:firstLine="420" w:firstLineChars="200"/>
    </w:pPr>
  </w:style>
  <w:style w:type="character" w:customStyle="1" w:styleId="31">
    <w:name w:val="批注文字 Char"/>
    <w:basedOn w:val="19"/>
    <w:link w:val="6"/>
    <w:semiHidden/>
    <w:qFormat/>
    <w:uiPriority w:val="99"/>
    <w:rPr>
      <w:szCs w:val="24"/>
    </w:rPr>
  </w:style>
  <w:style w:type="character" w:customStyle="1" w:styleId="32">
    <w:name w:val="批注主题 Char"/>
    <w:basedOn w:val="31"/>
    <w:link w:val="16"/>
    <w:semiHidden/>
    <w:qFormat/>
    <w:uiPriority w:val="99"/>
    <w:rPr>
      <w:b/>
      <w:bCs/>
      <w:szCs w:val="24"/>
    </w:rPr>
  </w:style>
  <w:style w:type="character" w:customStyle="1" w:styleId="33">
    <w:name w:val="批注框文本 Char"/>
    <w:basedOn w:val="19"/>
    <w:link w:val="9"/>
    <w:semiHidden/>
    <w:qFormat/>
    <w:uiPriority w:val="99"/>
    <w:rPr>
      <w:sz w:val="18"/>
      <w:szCs w:val="18"/>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6">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7">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8">
    <w:name w:val="目次标题级"/>
    <w:next w:val="3"/>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39">
    <w:name w:val="目次第1级"/>
    <w:next w:val="3"/>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40">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41">
    <w:name w:val="目次第3级"/>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42">
    <w:name w:val="目次第4级"/>
    <w:qFormat/>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3">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4">
    <w:name w:val="目次第6级"/>
    <w:qFormat/>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5">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6">
    <w:name w:val="目次第8级"/>
    <w:qFormat/>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7">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48">
    <w:name w:val="Book Title"/>
    <w:basedOn w:val="19"/>
    <w:qFormat/>
    <w:uiPriority w:val="33"/>
    <w:rPr>
      <w:b/>
      <w:bCs/>
      <w:smallCaps/>
      <w:spacing w:val="5"/>
    </w:rPr>
  </w:style>
  <w:style w:type="paragraph" w:customStyle="1" w:styleId="49">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50">
    <w:name w:val="章节页面标题"/>
    <w:qFormat/>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51">
    <w:name w:val="附录页面标题"/>
    <w:qFormat/>
    <w:uiPriority w:val="0"/>
    <w:pPr>
      <w:widowControl w:val="0"/>
      <w:wordWrap w:val="0"/>
      <w:autoSpaceDE w:val="0"/>
      <w:autoSpaceDN w:val="0"/>
      <w:spacing w:before="640" w:after="280"/>
      <w:contextualSpacing/>
      <w:jc w:val="center"/>
    </w:pPr>
    <w:rPr>
      <w:rFonts w:ascii="黑体" w:hAnsi="黑体" w:eastAsia="黑体" w:cs="黑体"/>
      <w:sz w:val="21"/>
      <w:szCs w:val="21"/>
      <w:lang w:val="en-US" w:eastAsia="zh-CN" w:bidi="ar-SA"/>
    </w:rPr>
  </w:style>
  <w:style w:type="paragraph" w:customStyle="1" w:styleId="52">
    <w:name w:val="其他页面标题"/>
    <w:qFormat/>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3">
    <w:name w:val="段落"/>
    <w:qFormat/>
    <w:uiPriority w:val="0"/>
    <w:pPr>
      <w:widowControl w:val="0"/>
      <w:autoSpaceDE w:val="0"/>
      <w:autoSpaceDN w:val="0"/>
      <w:spacing w:line="240" w:lineRule="auto"/>
      <w:ind w:firstLine="420" w:firstLineChars="200"/>
      <w:jc w:val="left"/>
    </w:pPr>
    <w:rPr>
      <w:rFonts w:ascii="宋体" w:hAnsi="Times New Roman" w:eastAsia="宋体" w:cs="Times New Roman"/>
      <w:sz w:val="21"/>
      <w:lang w:val="en-US" w:eastAsia="zh-CN" w:bidi="ar-SA"/>
    </w:rPr>
  </w:style>
  <w:style w:type="paragraph" w:customStyle="1" w:styleId="54">
    <w:name w:val="一级首章标题"/>
    <w:qFormat/>
    <w:uiPriority w:val="0"/>
    <w:pPr>
      <w:widowControl w:val="0"/>
      <w:wordWrap w:val="0"/>
      <w:autoSpaceDE w:val="0"/>
      <w:autoSpaceDN w:val="0"/>
      <w:snapToGrid w:val="0"/>
      <w:spacing w:before="0" w:after="100" w:afterLines="100"/>
      <w:jc w:val="both"/>
    </w:pPr>
    <w:rPr>
      <w:rFonts w:ascii="黑体" w:hAnsi="黑体" w:eastAsia="黑体" w:cs="Times New Roman"/>
      <w:sz w:val="21"/>
      <w:lang w:val="en-US" w:eastAsia="zh-CN" w:bidi="ar-SA"/>
    </w:rPr>
  </w:style>
  <w:style w:type="paragraph" w:customStyle="1" w:styleId="55">
    <w:name w:val="二级首章标题"/>
    <w:qFormat/>
    <w:uiPriority w:val="0"/>
    <w:pPr>
      <w:widowControl w:val="0"/>
      <w:wordWrap w:val="0"/>
      <w:autoSpaceDE w:val="0"/>
      <w:autoSpaceDN w:val="0"/>
      <w:snapToGrid w:val="0"/>
      <w:spacing w:before="0" w:after="50" w:afterLines="50"/>
      <w:jc w:val="both"/>
    </w:pPr>
    <w:rPr>
      <w:rFonts w:ascii="黑体" w:hAnsi="黑体" w:eastAsia="黑体" w:cs="Times New Roman"/>
      <w:sz w:val="21"/>
      <w:lang w:val="en-US" w:eastAsia="zh-CN" w:bidi="ar-SA"/>
    </w:rPr>
  </w:style>
  <w:style w:type="paragraph" w:customStyle="1" w:styleId="56">
    <w:name w:val="一级章标题"/>
    <w:qFormat/>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7">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58">
    <w:name w:val="章标题-无条题"/>
    <w:qFormat/>
    <w:uiPriority w:val="0"/>
    <w:pPr>
      <w:widowControl w:val="0"/>
      <w:wordWrap w:val="0"/>
      <w:autoSpaceDE w:val="0"/>
      <w:autoSpaceDN w:val="0"/>
      <w:spacing w:before="0" w:beforeLines="0" w:after="0" w:afterLines="0"/>
      <w:ind w:left="0" w:firstLine="0"/>
    </w:pPr>
    <w:rPr>
      <w:rFonts w:ascii="宋体" w:hAnsi="宋体" w:eastAsia="宋体" w:cs="Times New Roman"/>
      <w:lang w:val="en-US" w:eastAsia="zh-CN" w:bidi="ar-SA"/>
    </w:rPr>
  </w:style>
  <w:style w:type="paragraph" w:customStyle="1" w:styleId="59">
    <w:name w:val="附录章标题-有条题"/>
    <w:qFormat/>
    <w:uiPriority w:val="0"/>
    <w:pPr>
      <w:widowControl w:val="0"/>
      <w:wordWrap w:val="0"/>
      <w:autoSpaceDE w:val="0"/>
      <w:autoSpaceDN w:val="0"/>
      <w:snapToGrid w:val="0"/>
      <w:spacing w:before="50" w:beforeLines="50" w:after="50" w:afterLines="50"/>
      <w:ind w:left="0" w:firstLine="0"/>
    </w:pPr>
    <w:rPr>
      <w:rFonts w:ascii="宋体" w:hAnsi="宋体" w:eastAsia="宋体" w:cs="Times New Roman"/>
      <w:lang w:val="en-US" w:eastAsia="zh-CN" w:bidi="ar-SA"/>
    </w:rPr>
  </w:style>
  <w:style w:type="paragraph" w:customStyle="1" w:styleId="60">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1">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2">
    <w:name w:val="公式居中"/>
    <w:next w:val="3"/>
    <w:qFormat/>
    <w:uiPriority w:val="0"/>
    <w:pPr>
      <w:keepNext w:val="0"/>
      <w:tabs>
        <w:tab w:val="center" w:pos="4620"/>
        <w:tab w:val="right" w:pos="6510"/>
        <w:tab w:val="right" w:leader="middleDot" w:pos="9240"/>
      </w:tabs>
      <w:wordWrap w:val="0"/>
      <w:autoSpaceDE w:val="0"/>
      <w:autoSpaceDN w:val="0"/>
      <w:adjustRightInd/>
      <w:snapToGrid w:val="0"/>
      <w:spacing w:line="240" w:lineRule="auto"/>
      <w:jc w:val="center"/>
      <w:textAlignment w:val="center"/>
    </w:pPr>
    <w:rPr>
      <w:rFonts w:ascii="Times New Roman" w:hAnsi="Times New Roman" w:eastAsia="宋体" w:cs="Times New Roman"/>
      <w:kern w:val="2"/>
      <w:lang w:val="en-US" w:eastAsia="zh-CN" w:bidi="ar-SA"/>
    </w:rPr>
  </w:style>
  <w:style w:type="paragraph" w:customStyle="1" w:styleId="63">
    <w:name w:val="终结线"/>
    <w:qFormat/>
    <w:uiPriority w:val="0"/>
    <w:pPr>
      <w:tabs>
        <w:tab w:val="center" w:pos="4620"/>
        <w:tab w:val="right" w:pos="6510"/>
        <w:tab w:val="right" w:leader="middleDot" w:pos="9240"/>
      </w:tabs>
      <w:wordWrap w:val="0"/>
      <w:autoSpaceDE w:val="0"/>
      <w:autoSpaceDN w:val="0"/>
      <w:adjustRightInd/>
      <w:spacing w:line="240" w:lineRule="auto"/>
      <w:jc w:val="center"/>
      <w:textAlignment w:val="center"/>
    </w:pPr>
    <w:rPr>
      <w:rFonts w:ascii="Times New Roman" w:hAnsi="Times New Roman" w:eastAsia="宋体" w:cs="Times New Roman"/>
      <w:lang w:val="en-US" w:eastAsia="zh-CN" w:bidi="ar-SA"/>
    </w:rPr>
  </w:style>
  <w:style w:type="paragraph" w:customStyle="1" w:styleId="6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5">
    <w:name w:val="标准文件_术语条一"/>
    <w:basedOn w:val="66"/>
    <w:next w:val="69"/>
    <w:qFormat/>
    <w:uiPriority w:val="0"/>
  </w:style>
  <w:style w:type="paragraph" w:customStyle="1" w:styleId="66">
    <w:name w:val="标准文件_一级无标题"/>
    <w:basedOn w:val="67"/>
    <w:qFormat/>
    <w:uiPriority w:val="0"/>
    <w:pPr>
      <w:spacing w:before="0" w:beforeLines="0" w:after="0" w:afterLines="0"/>
      <w:outlineLvl w:val="9"/>
    </w:pPr>
    <w:rPr>
      <w:rFonts w:ascii="宋体" w:eastAsia="宋体"/>
    </w:rPr>
  </w:style>
  <w:style w:type="paragraph" w:customStyle="1" w:styleId="67">
    <w:name w:val="标准文件_一级条标题"/>
    <w:basedOn w:val="68"/>
    <w:next w:val="69"/>
    <w:qFormat/>
    <w:uiPriority w:val="0"/>
    <w:pPr>
      <w:numPr>
        <w:ilvl w:val="2"/>
      </w:numPr>
      <w:spacing w:before="50" w:beforeLines="50" w:after="50" w:afterLines="50"/>
      <w:outlineLvl w:val="1"/>
    </w:pPr>
  </w:style>
  <w:style w:type="paragraph" w:customStyle="1" w:styleId="68">
    <w:name w:val="标准文件_章标题"/>
    <w:next w:val="6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2">
    <w:name w:val="标准文件_二级条标题"/>
    <w:next w:val="69"/>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3">
    <w:name w:val="三级条标题"/>
    <w:basedOn w:val="74"/>
    <w:next w:val="71"/>
    <w:qFormat/>
    <w:uiPriority w:val="0"/>
    <w:pPr>
      <w:outlineLvl w:val="4"/>
    </w:pPr>
  </w:style>
  <w:style w:type="paragraph" w:customStyle="1" w:styleId="74">
    <w:name w:val="二级条标题"/>
    <w:basedOn w:val="75"/>
    <w:next w:val="71"/>
    <w:qFormat/>
    <w:uiPriority w:val="0"/>
    <w:pPr>
      <w:spacing w:before="50" w:after="50"/>
      <w:outlineLvl w:val="3"/>
    </w:pPr>
  </w:style>
  <w:style w:type="paragraph" w:customStyle="1" w:styleId="75">
    <w:name w:val="一级条标题"/>
    <w:next w:val="7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4653</Words>
  <Characters>5249</Characters>
  <Lines>0</Lines>
  <Paragraphs>0</Paragraphs>
  <TotalTime>3</TotalTime>
  <ScaleCrop>false</ScaleCrop>
  <LinksUpToDate>false</LinksUpToDate>
  <CharactersWithSpaces>5377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2021-11-06T13:46:00Z</dcterms:created>
  <dc:creator>sam</dc:creator>
  <cp:lastModifiedBy>Administrator</cp:lastModifiedBy>
  <dcterms:modified xsi:type="dcterms:W3CDTF">2026-04-20T03:44:17Z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D5ACB30930A74709B2C652909850FEEF_13</vt:lpwstr>
  </property>
  <property fmtid="{D5CDD505-2E9C-101B-9397-08002B2CF9AE}" pid="4" name="KSOTemplateDocerSaveRecord">
    <vt:lpwstr>eyJoZGlkIjoiM2MyZmVhMmUzYmRjMjNlNDc0YTNkYzExYzAyODI2MmEiLCJ1c2VySWQiOiI0NzA1OTkwODUifQ==</vt:lpwstr>
  </property>
</Properties>
</file>