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通城县农业领域首违免罚事项清单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896"/>
        <w:gridCol w:w="2973"/>
        <w:gridCol w:w="6212"/>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处罚事项</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首违免罚的情形</w:t>
            </w:r>
          </w:p>
        </w:tc>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首违免罚的依据</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对使用全民所有的水域、滩涂从事养殖生产，无正当理由使水域、滩涂荒芜满一年的处罚</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vertAlign w:val="baseline"/>
                <w:lang w:val="en-US" w:eastAsia="zh-CN"/>
              </w:rPr>
              <w:t>使用全民所有的水域、滩涂从事养殖生产，首次无正当理由使水域、滩涂荒芜满一年，且</w:t>
            </w:r>
            <w:r>
              <w:rPr>
                <w:rFonts w:hint="eastAsia" w:ascii="仿宋_GB2312" w:hAnsi="仿宋_GB2312" w:eastAsia="仿宋_GB2312" w:cs="仿宋_GB2312"/>
                <w:sz w:val="24"/>
                <w:szCs w:val="24"/>
                <w:lang w:val="en-US" w:eastAsia="zh-CN"/>
              </w:rPr>
              <w:t>能按要求及时改正</w:t>
            </w:r>
          </w:p>
        </w:tc>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《中华人民</w:t>
            </w:r>
            <w:r>
              <w:rPr>
                <w:rFonts w:hint="eastAsia" w:ascii="仿宋_GB2312" w:hAnsi="仿宋_GB2312" w:eastAsia="仿宋_GB2312" w:cs="仿宋_GB2312"/>
                <w:sz w:val="24"/>
                <w:szCs w:val="24"/>
                <w:lang w:val="en-US" w:eastAsia="zh-CN"/>
              </w:rPr>
              <w:t>共和国</w:t>
            </w:r>
            <w:r>
              <w:rPr>
                <w:rFonts w:hint="eastAsia" w:ascii="仿宋_GB2312" w:hAnsi="仿宋_GB2312" w:eastAsia="仿宋_GB2312" w:cs="仿宋_GB2312"/>
                <w:sz w:val="24"/>
                <w:szCs w:val="24"/>
              </w:rPr>
              <w:t>渔业法》第四十条</w:t>
            </w:r>
            <w:r>
              <w:rPr>
                <w:rFonts w:hint="eastAsia" w:ascii="仿宋_GB2312" w:hAnsi="仿宋_GB2312" w:eastAsia="仿宋_GB2312" w:cs="仿宋_GB2312"/>
                <w:sz w:val="24"/>
                <w:szCs w:val="24"/>
                <w:lang w:val="en-US" w:eastAsia="zh-CN"/>
              </w:rPr>
              <w:t>第一款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vertAlign w:val="baseline"/>
                <w:lang w:val="en-US" w:eastAsia="zh-CN"/>
              </w:rPr>
              <w:t>使用全民所有的水域、滩涂从事养殖生产，无正当理由使水域、滩涂荒芜满一年的，由发放养殖证的机关责令限期开发利用；逾期未开发利用的，吊销养殖证，可以并处一万元以下的罚款。</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首违免罚依据：</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对动物诊疗机构变更机构名称或者法定代表人未办理变更手续等行为的处罚</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动物诊疗机构</w:t>
            </w:r>
            <w:r>
              <w:rPr>
                <w:rFonts w:hint="eastAsia" w:ascii="仿宋_GB2312" w:hAnsi="仿宋_GB2312" w:eastAsia="仿宋_GB2312" w:cs="仿宋_GB2312"/>
                <w:sz w:val="24"/>
                <w:szCs w:val="24"/>
                <w:lang w:eastAsia="zh-CN"/>
              </w:rPr>
              <w:t>变更</w:t>
            </w:r>
            <w:r>
              <w:rPr>
                <w:rFonts w:hint="eastAsia" w:ascii="仿宋_GB2312" w:hAnsi="仿宋_GB2312" w:eastAsia="仿宋_GB2312" w:cs="仿宋_GB2312"/>
                <w:sz w:val="24"/>
                <w:szCs w:val="24"/>
                <w:lang w:val="en-US" w:eastAsia="zh-CN"/>
              </w:rPr>
              <w:t>机构名称或者法定代表人，首次未办理变更手续，</w:t>
            </w:r>
            <w:r>
              <w:rPr>
                <w:rFonts w:hint="eastAsia" w:ascii="仿宋_GB2312" w:hAnsi="仿宋_GB2312" w:eastAsia="仿宋_GB2312" w:cs="仿宋_GB2312"/>
                <w:sz w:val="24"/>
                <w:szCs w:val="24"/>
                <w:vertAlign w:val="baseline"/>
                <w:lang w:val="en-US" w:eastAsia="zh-CN"/>
              </w:rPr>
              <w:t>情节较轻，且能按要求及时改正</w:t>
            </w:r>
          </w:p>
        </w:tc>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《动物诊疗机构管理办法》第三十二条第（一）项：“违反本办法规定，动物诊疗机构有下列情形之一的，由动物卫生监督机构给予警告，责令限期改正; 拒不改正或者再次出现同类违法行为的，处以一千元以下罚款。</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(一)变更机构名称或者法定代表人未办理变更手续的。”</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首违免罚依据：</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rPr>
              <w:t>对动物诊疗机构变更机构名称或者法定代表人未办理变更手续等行为的处罚</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动物诊疗机构首次使用不规范的病历、处方笺，情节较轻，且能按要求及时改正</w:t>
            </w:r>
          </w:p>
        </w:tc>
        <w:tc>
          <w:tcPr>
            <w:tcW w:w="6212"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《动物诊疗机构管理办法》第三十二条第（四）项:“违反本办法规定，动物诊疗机构有下列情形之一的，由动物卫生监督机构给予警告，责令限期改正; 拒不改正或者再次出现同类违法行为的，处以一千元以下罚款。</w:t>
            </w:r>
          </w:p>
          <w:p>
            <w:pPr>
              <w:keepNext w:val="0"/>
              <w:keepLines w:val="0"/>
              <w:pageBreakBefore w:val="0"/>
              <w:widowControl w:val="0"/>
              <w:numPr>
                <w:ilvl w:val="0"/>
                <w:numId w:val="1"/>
              </w:numPr>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使用不规范的病历、处方笺的。”</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首违免罚依据：</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13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劝导示范</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通城县农业领域减轻处罚事项清单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784"/>
        <w:gridCol w:w="3300"/>
        <w:gridCol w:w="3400"/>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78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减轻处罚的情形</w:t>
            </w:r>
          </w:p>
        </w:tc>
        <w:tc>
          <w:tcPr>
            <w:tcW w:w="34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减轻处罚的依据</w:t>
            </w:r>
          </w:p>
        </w:tc>
        <w:tc>
          <w:tcPr>
            <w:tcW w:w="37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无</w:t>
            </w: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27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3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40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c>
          <w:tcPr>
            <w:tcW w:w="373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通城县农业领域从轻处罚事项清单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128"/>
        <w:gridCol w:w="3327"/>
        <w:gridCol w:w="5427"/>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21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33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从轻处罚的情形</w:t>
            </w:r>
          </w:p>
        </w:tc>
        <w:tc>
          <w:tcPr>
            <w:tcW w:w="54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从轻处罚的依据</w:t>
            </w:r>
          </w:p>
        </w:tc>
        <w:tc>
          <w:tcPr>
            <w:tcW w:w="2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1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对违法生产、经营种子行为的处罚</w:t>
            </w:r>
          </w:p>
        </w:tc>
        <w:tc>
          <w:tcPr>
            <w:tcW w:w="33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种子生产经营者在异地设立分支机构、专门经营不再分装的包装种子或者受委托生产、代销种子，未按规定备案</w:t>
            </w:r>
            <w:r>
              <w:rPr>
                <w:rFonts w:hint="eastAsia" w:ascii="仿宋_GB2312" w:hAnsi="仿宋_GB2312" w:eastAsia="仿宋_GB2312" w:cs="仿宋_GB2312"/>
                <w:sz w:val="24"/>
                <w:szCs w:val="24"/>
                <w:vertAlign w:val="baseline"/>
                <w:lang w:val="en-US" w:eastAsia="zh-CN"/>
              </w:rPr>
              <w:t>，情节轻微，主动消除或者减轻危害后果，未造成其他严重危害后果的</w:t>
            </w:r>
          </w:p>
        </w:tc>
        <w:tc>
          <w:tcPr>
            <w:tcW w:w="54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highlight w:val="yellow"/>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从轻处罚依据：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kern w:val="2"/>
                <w:sz w:val="24"/>
                <w:szCs w:val="24"/>
                <w:highlight w:val="yellow"/>
                <w:vertAlign w:val="baseline"/>
                <w:lang w:val="en-US" w:eastAsia="zh-CN" w:bidi="ar-SA"/>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1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33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农药经营者</w:t>
            </w:r>
            <w:r>
              <w:rPr>
                <w:rFonts w:hint="default" w:ascii="仿宋_GB2312" w:hAnsi="仿宋_GB2312" w:eastAsia="仿宋_GB2312" w:cs="仿宋_GB2312"/>
                <w:sz w:val="24"/>
                <w:szCs w:val="24"/>
                <w:vertAlign w:val="baseline"/>
                <w:lang w:val="en-US" w:eastAsia="zh-CN"/>
              </w:rPr>
              <w:t>设立分支机构未依法变更农药经营许可证，或者未向分支机构所在地县级以上地方人民政府农业主管部门备案</w:t>
            </w:r>
            <w:r>
              <w:rPr>
                <w:rFonts w:hint="eastAsia" w:ascii="仿宋_GB2312" w:hAnsi="仿宋_GB2312" w:eastAsia="仿宋_GB2312" w:cs="仿宋_GB2312"/>
                <w:sz w:val="24"/>
                <w:szCs w:val="24"/>
                <w:vertAlign w:val="baseline"/>
                <w:lang w:val="en-US" w:eastAsia="zh-CN"/>
              </w:rPr>
              <w:t>，情节轻微，主动消除或者减轻危害后果，未造成其他严重危害后果的</w:t>
            </w:r>
          </w:p>
        </w:tc>
        <w:tc>
          <w:tcPr>
            <w:tcW w:w="54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从轻处罚依据：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2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说服教育</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通城县农业领域不予处罚事项清单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705"/>
        <w:gridCol w:w="2473"/>
        <w:gridCol w:w="761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处罚事项</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不予处罚的情形</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不予处罚的依据</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农药经营者记录的农药采购、销售台账</w:t>
            </w:r>
            <w:r>
              <w:rPr>
                <w:rFonts w:hint="eastAsia" w:ascii="仿宋_GB2312" w:hAnsi="仿宋_GB2312" w:eastAsia="仿宋_GB2312" w:cs="仿宋_GB2312"/>
                <w:sz w:val="24"/>
                <w:szCs w:val="24"/>
              </w:rPr>
              <w:t>个别项目记录不全</w:t>
            </w:r>
            <w:r>
              <w:rPr>
                <w:rFonts w:hint="eastAsia" w:ascii="仿宋_GB2312" w:hAnsi="仿宋_GB2312" w:eastAsia="仿宋_GB2312" w:cs="仿宋_GB2312"/>
                <w:sz w:val="24"/>
                <w:szCs w:val="24"/>
                <w:lang w:val="en-US" w:eastAsia="zh-CN"/>
              </w:rPr>
              <w:t>但</w:t>
            </w:r>
            <w:r>
              <w:rPr>
                <w:rFonts w:hint="eastAsia" w:ascii="仿宋_GB2312" w:hAnsi="仿宋_GB2312" w:eastAsia="仿宋_GB2312" w:cs="仿宋_GB2312"/>
                <w:sz w:val="24"/>
                <w:szCs w:val="24"/>
              </w:rPr>
              <w:t>不影响</w:t>
            </w:r>
            <w:r>
              <w:rPr>
                <w:rFonts w:hint="eastAsia" w:ascii="仿宋_GB2312" w:hAnsi="仿宋_GB2312" w:eastAsia="仿宋_GB2312" w:cs="仿宋_GB2312"/>
                <w:sz w:val="24"/>
                <w:szCs w:val="24"/>
                <w:lang w:val="en-US" w:eastAsia="zh-CN"/>
              </w:rPr>
              <w:t>来源、去向双</w:t>
            </w:r>
            <w:r>
              <w:rPr>
                <w:rFonts w:hint="eastAsia" w:ascii="仿宋_GB2312" w:hAnsi="仿宋_GB2312" w:eastAsia="仿宋_GB2312" w:cs="仿宋_GB2312"/>
                <w:sz w:val="24"/>
                <w:szCs w:val="24"/>
              </w:rPr>
              <w:t>追溯</w:t>
            </w:r>
            <w:r>
              <w:rPr>
                <w:rFonts w:hint="eastAsia" w:ascii="仿宋_GB2312" w:hAnsi="仿宋_GB2312" w:eastAsia="仿宋_GB2312" w:cs="仿宋_GB2312"/>
                <w:sz w:val="24"/>
                <w:szCs w:val="24"/>
                <w:lang w:val="en-US" w:eastAsia="zh-CN"/>
              </w:rPr>
              <w:t>，且</w:t>
            </w:r>
            <w:r>
              <w:rPr>
                <w:rFonts w:hint="eastAsia" w:ascii="仿宋_GB2312" w:hAnsi="仿宋_GB2312" w:eastAsia="仿宋_GB2312" w:cs="仿宋_GB2312"/>
                <w:sz w:val="24"/>
                <w:szCs w:val="24"/>
                <w:vertAlign w:val="baseline"/>
                <w:lang w:val="en-US" w:eastAsia="zh-CN"/>
              </w:rPr>
              <w:t>能按要求及时改正</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处罚依据：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第五十八条第（一）项：“农药经营者有下列行为之一的，由县级以上地方人民政府农业主管部门责令改正；拒不改正或者情节严重的，处2000元以上2万元以下罚款，并由发证机关吊销农药经营许可证：（一）不执行农药采购台账、销售台账制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农药经营者在卫生用农药以外的农药经营场所内经营食品、食用农产品、饲料等，未造成危害后果且能按要求及时改正</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管理条例》第五十八条第（二）项：“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对违反农药生产经营管理规定的处罚</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农药经营者未将卫生用农药与其他商品分柜销售，未造成危害后果且能按要求及时改正</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药管理条例》第五十八条第（三）项：“农药经营者有下列行为之一的，由县级以上地方人民政府农业主管部门责令改正；拒不改正或者情节严重的，处2000元以上2万元以下罚款，并由发证机关吊销农药经营许可证：（三）未将卫生用农药与其他商品分柜销售”。</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对违反农业机械安全监督管理规定行为的处罚</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农业机械维修者未按规定填写维修记录和报送年度维修情况统计表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vertAlign w:val="baseline"/>
                <w:lang w:val="en-US" w:eastAsia="zh-CN"/>
              </w:rPr>
              <w:t>情节较轻，能按要求及时改正</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《农业机械维修管理规定》第二十三条：“农业机械维修者未按规定填写维修记录和报送年度维修情况统计表的，由农业机械化主管部门给予警告，限期改正；逾期拒不改正的，处100元以下罚款”。</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劝导示范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对动物诊疗机构变更机构名称或者法定代表人未办理变更手续等行为的处罚</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动物诊疗机构未在诊疗场所悬挂动物诊疗许可证或者公示从业人员基本情况，情节较轻，且能按要求及时改正</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《动物诊疗机构管理办法》</w:t>
            </w:r>
            <w:r>
              <w:rPr>
                <w:rFonts w:hint="eastAsia" w:ascii="仿宋_GB2312" w:hAnsi="仿宋_GB2312" w:eastAsia="仿宋_GB2312" w:cs="仿宋_GB2312"/>
                <w:sz w:val="24"/>
                <w:szCs w:val="24"/>
              </w:rPr>
              <w:t>第三十二条</w:t>
            </w:r>
            <w:r>
              <w:rPr>
                <w:rFonts w:hint="eastAsia" w:ascii="仿宋_GB2312" w:hAnsi="仿宋_GB2312" w:eastAsia="仿宋_GB2312" w:cs="仿宋_GB2312"/>
                <w:sz w:val="24"/>
                <w:szCs w:val="24"/>
                <w:lang w:val="en-US" w:eastAsia="zh-CN"/>
              </w:rPr>
              <w:t>第（二）项：“</w:t>
            </w:r>
            <w:r>
              <w:rPr>
                <w:rFonts w:hint="eastAsia" w:ascii="仿宋_GB2312" w:hAnsi="仿宋_GB2312" w:eastAsia="仿宋_GB2312" w:cs="仿宋_GB2312"/>
                <w:sz w:val="24"/>
                <w:szCs w:val="24"/>
              </w:rPr>
              <w:t>违反本办法规定，动物诊疗机构有下列情形之一的，由动物卫生监督机构给予警告，责令限期改正; 拒不改正或者再次出现同类违法行为的，处以一千元以下罚款。(二)未在诊疗场所悬挂动物诊疗许可证或者公示从业人员基本情况的;</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 《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4" w:hRule="atLeast"/>
        </w:trPr>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兽药经营者未悬挂提升语等行为的处罚</w:t>
            </w:r>
          </w:p>
        </w:tc>
        <w:tc>
          <w:tcPr>
            <w:tcW w:w="24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兽药经营者未在经营场所明显位置悬挂或者张贴提示语，情节较轻，且能按要求及时改正</w:t>
            </w:r>
          </w:p>
        </w:tc>
        <w:tc>
          <w:tcPr>
            <w:tcW w:w="76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兽用处方药和非处方药管理办法》第十六条第（一）项：违反本办法规定，有下列情形之一的，依照《兽药管理条例》第五十九条第一款的规定进行处罚：（一）兽药经营者未在经营场所明显位置悬挂或者张贴提示语的；</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不予处罚依据：</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1.《中华人民共和国行政处罚法》。</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湖北省农业行政处罚自由裁量权指导基准应用规则》（鄂农规〔2020〕2号）第九条第（一）项、第（三）项：“具有下列情形之一的，属于轻微违法行为：（一）行为人初次违法，违法所得较低，积极纠正且未发生危害后果的；（三）主动消除危害后果或有效避免危害后果继续发生的”。</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劝导示范</w:t>
            </w:r>
          </w:p>
        </w:tc>
      </w:tr>
    </w:tbl>
    <w:p/>
    <w:sectPr>
      <w:footerReference r:id="rId3" w:type="default"/>
      <w:pgSz w:w="16838" w:h="11906" w:orient="landscape"/>
      <w:pgMar w:top="1803" w:right="1440" w:bottom="1803" w:left="1440"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FF044"/>
    <w:multiLevelType w:val="singleLevel"/>
    <w:tmpl w:val="387FF044"/>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GE1ZjMxYmU4MmMxOWM0ZjVmYTkzZjNhYWY2M2EifQ=="/>
  </w:docVars>
  <w:rsids>
    <w:rsidRoot w:val="367C6D8E"/>
    <w:rsid w:val="083D5DBD"/>
    <w:rsid w:val="09D21BBD"/>
    <w:rsid w:val="0AFA23E3"/>
    <w:rsid w:val="10513F15"/>
    <w:rsid w:val="1AC11F06"/>
    <w:rsid w:val="227E692E"/>
    <w:rsid w:val="2D40315E"/>
    <w:rsid w:val="2D6C3F53"/>
    <w:rsid w:val="34D347D9"/>
    <w:rsid w:val="367C6D8E"/>
    <w:rsid w:val="37E1553E"/>
    <w:rsid w:val="41EF0A86"/>
    <w:rsid w:val="4783216D"/>
    <w:rsid w:val="53EE4E13"/>
    <w:rsid w:val="56523AC9"/>
    <w:rsid w:val="5CB36BF9"/>
    <w:rsid w:val="67EE2D53"/>
    <w:rsid w:val="6E313E22"/>
    <w:rsid w:val="6FF66782"/>
    <w:rsid w:val="7F645E05"/>
    <w:rsid w:val="DFFF88C7"/>
    <w:rsid w:val="FC7F7C3F"/>
    <w:rsid w:val="FD7F9F24"/>
    <w:rsid w:val="FDFF034A"/>
    <w:rsid w:val="FF5FE40A"/>
    <w:rsid w:val="FFDECA91"/>
    <w:rsid w:val="FFFF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4177</Words>
  <Characters>4276</Characters>
  <Lines>0</Lines>
  <Paragraphs>0</Paragraphs>
  <TotalTime>2</TotalTime>
  <ScaleCrop>false</ScaleCrop>
  <LinksUpToDate>false</LinksUpToDate>
  <CharactersWithSpaces>4397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2022-03-19T11:48:00Z</dcterms:created>
  <dc:creator>时甫</dc:creator>
  <cp:lastModifiedBy>扎西德勒</cp:lastModifiedBy>
  <cp:lastPrinted>2022-03-19T16:04:00Z</cp:lastPrinted>
  <dcterms:modified xsi:type="dcterms:W3CDTF">2023-06-06T08:21:25Z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14ED01482C644D62A2C73E6FC58CC673</vt:lpwstr>
  </property>
</Properties>
</file>