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89DEF">
      <w:pPr>
        <w:spacing w:line="480" w:lineRule="exact"/>
        <w:jc w:val="both"/>
        <w:rPr>
          <w:rFonts w:hint="eastAsia" w:ascii="方正小标宋简体" w:hAnsi="方正小标宋简体" w:eastAsia="方正小标宋简体" w:cs="方正小标宋简体"/>
          <w:sz w:val="36"/>
          <w:szCs w:val="36"/>
        </w:rPr>
      </w:pPr>
    </w:p>
    <w:p w14:paraId="19E78D10">
      <w:pPr>
        <w:spacing w:line="480" w:lineRule="exact"/>
        <w:jc w:val="both"/>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附件</w:t>
      </w:r>
    </w:p>
    <w:p w14:paraId="4A2DDAE4">
      <w:pPr>
        <w:spacing w:line="480" w:lineRule="exact"/>
        <w:ind w:firstLine="1440" w:firstLineChars="4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通城县贯彻落实</w:t>
      </w:r>
      <w:r>
        <w:rPr>
          <w:rFonts w:hint="eastAsia" w:ascii="方正小标宋简体" w:hAnsi="黑体" w:eastAsia="方正小标宋简体" w:cs="黑体"/>
          <w:b w:val="0"/>
          <w:bCs w:val="0"/>
          <w:sz w:val="36"/>
          <w:szCs w:val="36"/>
        </w:rPr>
        <w:t>第二轮</w:t>
      </w:r>
      <w:r>
        <w:rPr>
          <w:rFonts w:hint="eastAsia" w:ascii="方正小标宋简体" w:hAnsi="黑体" w:eastAsia="方正小标宋简体" w:cs="黑体"/>
          <w:b w:val="0"/>
          <w:bCs w:val="0"/>
          <w:sz w:val="36"/>
          <w:szCs w:val="36"/>
          <w:lang w:eastAsia="zh-CN"/>
        </w:rPr>
        <w:t>省</w:t>
      </w:r>
      <w:r>
        <w:rPr>
          <w:rFonts w:hint="eastAsia" w:ascii="方正小标宋简体" w:hAnsi="黑体" w:eastAsia="方正小标宋简体" w:cs="黑体"/>
          <w:b w:val="0"/>
          <w:bCs w:val="0"/>
          <w:sz w:val="36"/>
          <w:szCs w:val="36"/>
        </w:rPr>
        <w:t>生态环境保护督察</w:t>
      </w:r>
      <w:r>
        <w:rPr>
          <w:rFonts w:hint="eastAsia" w:ascii="方正小标宋简体" w:hAnsi="黑体" w:eastAsia="方正小标宋简体" w:cs="黑体"/>
          <w:b w:val="0"/>
          <w:bCs w:val="0"/>
          <w:sz w:val="36"/>
          <w:szCs w:val="36"/>
          <w:lang w:eastAsia="zh-CN"/>
        </w:rPr>
        <w:t>反馈意见整改情况</w:t>
      </w:r>
    </w:p>
    <w:tbl>
      <w:tblPr>
        <w:tblStyle w:val="2"/>
        <w:tblW w:w="1464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618"/>
        <w:gridCol w:w="2268"/>
        <w:gridCol w:w="3084"/>
        <w:gridCol w:w="5269"/>
        <w:gridCol w:w="972"/>
        <w:gridCol w:w="792"/>
      </w:tblGrid>
      <w:tr w14:paraId="03C5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trPr>
        <w:tc>
          <w:tcPr>
            <w:tcW w:w="645" w:type="dxa"/>
            <w:noWrap w:val="0"/>
            <w:vAlign w:val="center"/>
          </w:tcPr>
          <w:p w14:paraId="23D800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hAnsi="黑体" w:eastAsia="黑体"/>
                <w:b/>
                <w:bCs/>
                <w:sz w:val="21"/>
                <w:szCs w:val="21"/>
              </w:rPr>
            </w:pPr>
            <w:r>
              <w:rPr>
                <w:rFonts w:hint="eastAsia" w:ascii="黑体" w:hAnsi="黑体" w:eastAsia="黑体"/>
                <w:b/>
                <w:bCs/>
                <w:sz w:val="21"/>
                <w:szCs w:val="21"/>
              </w:rPr>
              <w:t>问题序号</w:t>
            </w:r>
          </w:p>
        </w:tc>
        <w:tc>
          <w:tcPr>
            <w:tcW w:w="1618" w:type="dxa"/>
            <w:noWrap w:val="0"/>
            <w:vAlign w:val="center"/>
          </w:tcPr>
          <w:p w14:paraId="6948B3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hAnsi="黑体" w:eastAsia="黑体"/>
                <w:b/>
                <w:bCs/>
                <w:sz w:val="21"/>
                <w:szCs w:val="21"/>
              </w:rPr>
            </w:pPr>
            <w:r>
              <w:rPr>
                <w:rFonts w:hint="eastAsia" w:ascii="黑体" w:hAnsi="黑体" w:eastAsia="黑体"/>
                <w:b/>
                <w:bCs/>
                <w:sz w:val="21"/>
                <w:szCs w:val="21"/>
              </w:rPr>
              <w:t>具体内容</w:t>
            </w:r>
          </w:p>
        </w:tc>
        <w:tc>
          <w:tcPr>
            <w:tcW w:w="2268" w:type="dxa"/>
            <w:noWrap w:val="0"/>
            <w:vAlign w:val="center"/>
          </w:tcPr>
          <w:p w14:paraId="1E81CD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b/>
                <w:bCs/>
                <w:sz w:val="21"/>
                <w:szCs w:val="21"/>
              </w:rPr>
            </w:pPr>
            <w:r>
              <w:rPr>
                <w:rFonts w:hint="eastAsia" w:ascii="黑体" w:hAnsi="黑体" w:eastAsia="黑体"/>
                <w:b/>
                <w:bCs/>
                <w:sz w:val="21"/>
                <w:szCs w:val="21"/>
              </w:rPr>
              <w:t>整改</w:t>
            </w:r>
          </w:p>
          <w:p w14:paraId="11DAF8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hAnsi="黑体" w:eastAsia="黑体"/>
                <w:b/>
                <w:bCs/>
                <w:sz w:val="21"/>
                <w:szCs w:val="21"/>
              </w:rPr>
            </w:pPr>
            <w:r>
              <w:rPr>
                <w:rFonts w:hint="eastAsia" w:ascii="黑体" w:hAnsi="黑体" w:eastAsia="黑体"/>
                <w:b/>
                <w:bCs/>
                <w:sz w:val="21"/>
                <w:szCs w:val="21"/>
              </w:rPr>
              <w:t>目标</w:t>
            </w:r>
          </w:p>
        </w:tc>
        <w:tc>
          <w:tcPr>
            <w:tcW w:w="3084" w:type="dxa"/>
            <w:noWrap w:val="0"/>
            <w:vAlign w:val="center"/>
          </w:tcPr>
          <w:p w14:paraId="0F31CA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hAnsi="黑体" w:eastAsia="黑体"/>
                <w:b/>
                <w:bCs/>
                <w:sz w:val="21"/>
                <w:szCs w:val="21"/>
              </w:rPr>
            </w:pPr>
            <w:r>
              <w:rPr>
                <w:rFonts w:hint="eastAsia" w:ascii="黑体" w:hAnsi="黑体" w:eastAsia="黑体"/>
                <w:b/>
                <w:bCs/>
                <w:sz w:val="21"/>
                <w:szCs w:val="21"/>
              </w:rPr>
              <w:t>整改措施</w:t>
            </w:r>
          </w:p>
        </w:tc>
        <w:tc>
          <w:tcPr>
            <w:tcW w:w="5269" w:type="dxa"/>
            <w:noWrap w:val="0"/>
            <w:vAlign w:val="center"/>
          </w:tcPr>
          <w:p w14:paraId="7EC5BD81">
            <w:pPr>
              <w:keepNext w:val="0"/>
              <w:keepLines w:val="0"/>
              <w:pageBreakBefore w:val="0"/>
              <w:widowControl w:val="0"/>
              <w:tabs>
                <w:tab w:val="left" w:pos="421"/>
              </w:tabs>
              <w:kinsoku/>
              <w:wordWrap/>
              <w:overflowPunct/>
              <w:topLinePunct w:val="0"/>
              <w:autoSpaceDE/>
              <w:autoSpaceDN/>
              <w:bidi w:val="0"/>
              <w:adjustRightInd/>
              <w:snapToGrid/>
              <w:spacing w:line="240" w:lineRule="exact"/>
              <w:jc w:val="center"/>
              <w:textAlignment w:val="auto"/>
              <w:rPr>
                <w:rFonts w:hint="eastAsia" w:ascii="黑体" w:hAnsi="黑体" w:eastAsia="黑体"/>
                <w:b/>
                <w:bCs/>
                <w:sz w:val="21"/>
                <w:szCs w:val="21"/>
                <w:lang w:eastAsia="zh-CN"/>
              </w:rPr>
            </w:pPr>
            <w:r>
              <w:rPr>
                <w:rFonts w:hint="eastAsia" w:ascii="黑体" w:hAnsi="黑体" w:eastAsia="黑体"/>
                <w:b/>
                <w:bCs/>
                <w:sz w:val="21"/>
                <w:szCs w:val="21"/>
                <w:lang w:eastAsia="zh-CN"/>
              </w:rPr>
              <w:t>完成情况</w:t>
            </w:r>
          </w:p>
        </w:tc>
        <w:tc>
          <w:tcPr>
            <w:tcW w:w="972" w:type="dxa"/>
            <w:noWrap w:val="0"/>
            <w:vAlign w:val="center"/>
          </w:tcPr>
          <w:p w14:paraId="07BC0F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b/>
                <w:bCs/>
                <w:sz w:val="21"/>
                <w:szCs w:val="21"/>
              </w:rPr>
            </w:pPr>
            <w:r>
              <w:rPr>
                <w:rFonts w:hint="eastAsia" w:ascii="黑体" w:hAnsi="黑体" w:eastAsia="黑体"/>
                <w:b/>
                <w:bCs/>
                <w:sz w:val="21"/>
                <w:szCs w:val="21"/>
              </w:rPr>
              <w:t>责任</w:t>
            </w:r>
          </w:p>
          <w:p w14:paraId="603714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hAnsi="黑体" w:eastAsia="黑体"/>
                <w:b/>
                <w:bCs/>
                <w:sz w:val="21"/>
                <w:szCs w:val="21"/>
              </w:rPr>
            </w:pPr>
            <w:r>
              <w:rPr>
                <w:rFonts w:hint="eastAsia" w:ascii="黑体" w:hAnsi="黑体" w:eastAsia="黑体"/>
                <w:b/>
                <w:bCs/>
                <w:sz w:val="21"/>
                <w:szCs w:val="21"/>
              </w:rPr>
              <w:t>单位</w:t>
            </w:r>
          </w:p>
        </w:tc>
        <w:tc>
          <w:tcPr>
            <w:tcW w:w="792" w:type="dxa"/>
            <w:noWrap w:val="0"/>
            <w:vAlign w:val="center"/>
          </w:tcPr>
          <w:p w14:paraId="5656D4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b/>
                <w:bCs/>
                <w:sz w:val="21"/>
                <w:szCs w:val="21"/>
              </w:rPr>
            </w:pPr>
            <w:r>
              <w:rPr>
                <w:rFonts w:hint="eastAsia" w:ascii="黑体" w:hAnsi="黑体" w:eastAsia="黑体"/>
                <w:b/>
                <w:bCs/>
                <w:sz w:val="21"/>
                <w:szCs w:val="21"/>
              </w:rPr>
              <w:t>完成</w:t>
            </w:r>
          </w:p>
          <w:p w14:paraId="0D9B29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hAnsi="黑体" w:eastAsia="黑体"/>
                <w:b/>
                <w:bCs/>
                <w:sz w:val="21"/>
                <w:szCs w:val="21"/>
              </w:rPr>
            </w:pPr>
            <w:r>
              <w:rPr>
                <w:rFonts w:hint="eastAsia" w:ascii="黑体" w:hAnsi="黑体" w:eastAsia="黑体"/>
                <w:b/>
                <w:bCs/>
                <w:sz w:val="21"/>
                <w:szCs w:val="21"/>
              </w:rPr>
              <w:t>时限</w:t>
            </w:r>
          </w:p>
        </w:tc>
      </w:tr>
      <w:tr w14:paraId="05D8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0" w:hRule="atLeast"/>
        </w:trPr>
        <w:tc>
          <w:tcPr>
            <w:tcW w:w="645" w:type="dxa"/>
            <w:noWrap w:val="0"/>
            <w:vAlign w:val="center"/>
          </w:tcPr>
          <w:p w14:paraId="0D9909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sz w:val="21"/>
                <w:szCs w:val="21"/>
              </w:rPr>
            </w:pPr>
            <w:r>
              <w:rPr>
                <w:rFonts w:hint="eastAsia" w:ascii="仿宋_GB2312" w:hAnsi="宋体" w:eastAsia="仿宋_GB2312" w:cs="仿宋_GB2312"/>
                <w:i w:val="0"/>
                <w:iCs w:val="0"/>
                <w:color w:val="000000"/>
                <w:kern w:val="0"/>
                <w:sz w:val="21"/>
                <w:szCs w:val="21"/>
                <w:u w:val="none"/>
                <w:lang w:val="en-US" w:eastAsia="zh-CN" w:bidi="ar"/>
              </w:rPr>
              <w:t>序号</w:t>
            </w:r>
            <w:r>
              <w:rPr>
                <w:rFonts w:hint="eastAsia" w:ascii="仿宋_GB2312" w:hAnsi="宋体" w:cs="仿宋_GB2312"/>
                <w:i w:val="0"/>
                <w:iCs w:val="0"/>
                <w:color w:val="000000"/>
                <w:kern w:val="0"/>
                <w:sz w:val="21"/>
                <w:szCs w:val="21"/>
                <w:u w:val="none"/>
                <w:lang w:val="en-US" w:eastAsia="zh-CN" w:bidi="ar"/>
              </w:rPr>
              <w:t>19(市序号31）</w:t>
            </w:r>
          </w:p>
        </w:tc>
        <w:tc>
          <w:tcPr>
            <w:tcW w:w="1618" w:type="dxa"/>
            <w:noWrap w:val="0"/>
            <w:vAlign w:val="center"/>
          </w:tcPr>
          <w:p w14:paraId="736A103A">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eastAsia="仿宋_GB2312" w:cs="仿宋_GB2312"/>
                <w:sz w:val="21"/>
                <w:szCs w:val="21"/>
                <w:lang w:eastAsia="zh-CN"/>
              </w:rPr>
            </w:pPr>
            <w:r>
              <w:rPr>
                <w:rFonts w:hint="eastAsia" w:ascii="仿宋_GB2312" w:hAnsi="仿宋_GB2312" w:eastAsia="仿宋_GB2312" w:cs="仿宋_GB2312"/>
                <w:kern w:val="0"/>
                <w:sz w:val="21"/>
                <w:szCs w:val="21"/>
              </w:rPr>
              <w:t>农业面源污染治理任务艰巨，化肥、农药减量化措施不实，养殖尾水没有有效处理措施，畜禽粪污综合利用不足。</w:t>
            </w:r>
          </w:p>
        </w:tc>
        <w:tc>
          <w:tcPr>
            <w:tcW w:w="2268" w:type="dxa"/>
            <w:noWrap w:val="0"/>
            <w:vAlign w:val="center"/>
          </w:tcPr>
          <w:p w14:paraId="7303B805">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eastAsia="仿宋_GB2312" w:cs="仿宋_GB2312"/>
                <w:sz w:val="21"/>
                <w:szCs w:val="21"/>
                <w:lang w:eastAsia="zh-CN"/>
              </w:rPr>
            </w:pPr>
            <w:r>
              <w:rPr>
                <w:rFonts w:hint="eastAsia" w:ascii="仿宋_GB2312" w:hAnsi="仿宋_GB2312" w:eastAsia="仿宋_GB2312" w:cs="仿宋_GB2312"/>
                <w:kern w:val="0"/>
                <w:sz w:val="21"/>
                <w:szCs w:val="21"/>
              </w:rPr>
              <w:t>全县化肥总用量同比减少0.5%，测土配方施肥技术覆盖率稳定在90%以上。全县农药用量持续减少，农作物病虫害绿色防控覆盖率达到54%以上，主要粮食作物统防统治覆盖率在44.5%以上。持续推进养殖尾水项目建设，养殖尾水有效处理。加强畜禽粪污综合利用，畜禽粪污综合利用率达到省、市农业农村部门确定的年度目标任务。</w:t>
            </w:r>
          </w:p>
        </w:tc>
        <w:tc>
          <w:tcPr>
            <w:tcW w:w="3084" w:type="dxa"/>
            <w:noWrap w:val="0"/>
            <w:vAlign w:val="center"/>
          </w:tcPr>
          <w:p w14:paraId="2C91360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396" w:firstLineChars="200"/>
              <w:textAlignment w:val="auto"/>
              <w:rPr>
                <w:rFonts w:hint="eastAsia" w:ascii="仿宋_GB2312" w:hAnsi="仿宋_GB2312" w:eastAsia="仿宋_GB2312" w:cs="仿宋_GB2312"/>
                <w:i w:val="0"/>
                <w:iCs w:val="0"/>
                <w:color w:val="000000"/>
                <w:spacing w:val="-6"/>
                <w:kern w:val="0"/>
                <w:sz w:val="21"/>
                <w:szCs w:val="21"/>
                <w:u w:val="none"/>
                <w:lang w:val="en-US" w:eastAsia="zh-CN" w:bidi="ar"/>
              </w:rPr>
            </w:pPr>
            <w:r>
              <w:rPr>
                <w:rFonts w:hint="eastAsia" w:ascii="仿宋_GB2312" w:hAnsi="仿宋_GB2312" w:eastAsia="仿宋_GB2312" w:cs="仿宋_GB2312"/>
                <w:i w:val="0"/>
                <w:iCs w:val="0"/>
                <w:color w:val="000000"/>
                <w:spacing w:val="-6"/>
                <w:kern w:val="0"/>
                <w:sz w:val="21"/>
                <w:szCs w:val="21"/>
                <w:u w:val="none"/>
                <w:lang w:val="en-US" w:eastAsia="zh-CN" w:bidi="ar"/>
              </w:rPr>
              <w:t>（一）深入开展测土配方施肥，指导农民科学选肥用肥。加大侧深施肥、种肥同播、水肥一体化等先进施肥技术推广力度。持续推进农药减量增效，及时发布病虫信息，指导科学防治。加强绿色防控，举办示范样板，推广健康栽培、农业防治、理化诱控、生物防治等绿色防控技术。</w:t>
            </w:r>
          </w:p>
          <w:p w14:paraId="5D77604F">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396" w:firstLineChars="200"/>
              <w:textAlignment w:val="auto"/>
              <w:rPr>
                <w:rFonts w:hint="eastAsia" w:ascii="仿宋_GB2312" w:hAnsi="仿宋_GB2312" w:eastAsia="仿宋_GB2312" w:cs="仿宋_GB2312"/>
                <w:i w:val="0"/>
                <w:iCs w:val="0"/>
                <w:color w:val="000000"/>
                <w:spacing w:val="-6"/>
                <w:kern w:val="0"/>
                <w:sz w:val="21"/>
                <w:szCs w:val="21"/>
                <w:u w:val="none"/>
                <w:lang w:val="en-US" w:eastAsia="zh-CN" w:bidi="ar"/>
              </w:rPr>
            </w:pPr>
            <w:r>
              <w:rPr>
                <w:rFonts w:hint="eastAsia" w:ascii="仿宋_GB2312" w:hAnsi="仿宋_GB2312" w:eastAsia="仿宋_GB2312" w:cs="仿宋_GB2312"/>
                <w:i w:val="0"/>
                <w:iCs w:val="0"/>
                <w:color w:val="000000"/>
                <w:spacing w:val="-6"/>
                <w:kern w:val="0"/>
                <w:sz w:val="21"/>
                <w:szCs w:val="21"/>
                <w:u w:val="none"/>
                <w:lang w:val="en-US" w:eastAsia="zh-CN" w:bidi="ar"/>
              </w:rPr>
              <w:t>（二）积极争取上级尾水治理项目资金，结合我县水产养殖水域分布情况制定改造方案。2024年对北港横冲牛蛙养殖基地进行尾水改造治理。</w:t>
            </w:r>
          </w:p>
          <w:p w14:paraId="34ECFDEA">
            <w:pPr>
              <w:keepNext w:val="0"/>
              <w:keepLines w:val="0"/>
              <w:pageBreakBefore w:val="0"/>
              <w:widowControl w:val="0"/>
              <w:kinsoku/>
              <w:wordWrap/>
              <w:overflowPunct/>
              <w:topLinePunct w:val="0"/>
              <w:autoSpaceDE/>
              <w:autoSpaceDN/>
              <w:bidi w:val="0"/>
              <w:adjustRightInd/>
              <w:snapToGrid/>
              <w:spacing w:line="280" w:lineRule="exact"/>
              <w:ind w:firstLine="396" w:firstLineChars="200"/>
              <w:jc w:val="left"/>
              <w:textAlignment w:val="auto"/>
              <w:rPr>
                <w:rFonts w:hint="eastAsia" w:ascii="仿宋_GB2312" w:eastAsia="仿宋_GB2312" w:cs="仿宋_GB2312"/>
                <w:sz w:val="21"/>
                <w:szCs w:val="21"/>
                <w:lang w:eastAsia="zh-CN"/>
              </w:rPr>
            </w:pPr>
            <w:r>
              <w:rPr>
                <w:rFonts w:hint="eastAsia" w:ascii="仿宋_GB2312" w:hAnsi="仿宋_GB2312" w:eastAsia="仿宋_GB2312" w:cs="仿宋_GB2312"/>
                <w:i w:val="0"/>
                <w:iCs w:val="0"/>
                <w:color w:val="000000"/>
                <w:spacing w:val="-6"/>
                <w:kern w:val="0"/>
                <w:sz w:val="21"/>
                <w:szCs w:val="21"/>
                <w:u w:val="none"/>
                <w:lang w:val="en-US" w:eastAsia="zh-CN" w:bidi="ar"/>
              </w:rPr>
              <w:t>（三）确保畜禽养殖场(户)粪污治理设备设施配套，并保持正常运行。</w:t>
            </w:r>
          </w:p>
        </w:tc>
        <w:tc>
          <w:tcPr>
            <w:tcW w:w="5269" w:type="dxa"/>
            <w:noWrap w:val="0"/>
            <w:vAlign w:val="center"/>
          </w:tcPr>
          <w:p w14:paraId="0CD6ABC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2023年，全县持续扎实推进化肥零增长行动，持续深入开展化肥减量增效，持续稳步保持化肥使用负增长态势,预计全县化肥使用量为14370吨（折纯），同比下降0.34%；亩均化肥使用量为15公斤（折纯），同比下降3.5%。全县农作物播种总面积112.83万亩，其中，主要农作物面积44.83万亩。全县主要农作物中，配方肥施用面积28.62万亩，农户按方施肥面积13.89万亩；测土配方施肥技术覆盖率达94.8%。全县全部农作物中，配方肥施用面积53.8万亩，农户按方施肥面积49.9万亩。主要农作物测土配方施肥技术覆盖率达91.9%。</w:t>
            </w:r>
          </w:p>
          <w:p w14:paraId="2617A90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通过推广应用生态调控、生物防治、物理防治、科学用药等绿色防控技术，以达到保护生物多样性，降低病虫害发生概率；利用“统一防治时间、统一防治农药、统一防治技术”来实施病虫害防治，以提高防治效果，有效控制病虫害，减少病虫粮食损失，确保农作物病虫害绿色防控覆盖率达到54%以上，主要粮食作物统防统治覆盖率达到48%以上，把病虫危害损失率控制在5%以下。依托植保专业化服务组织在示范片开展绿色防控和无人机飞防相结合，在北港镇、沙堆镇、五里镇创建绿色防控与统防统治融合示范片4个，面积3200亩。</w:t>
            </w:r>
          </w:p>
          <w:p w14:paraId="32B0889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结合省级渔业尾水治理项目，逐年对一些面积大且连片的鱼池，通过建立“三池两坝”（三池：沉淀池、曝氧池、净化池；二坝：二个过滤坝）治理模式，对养殖尾水进行治理，目前改造治理面积1065亩，辐射带动面积2100余亩。</w:t>
            </w:r>
          </w:p>
          <w:p w14:paraId="13E2DD4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养殖业主开展粪污处理设施设备维护，及时更换、升级老化损毁设施设备，保证粪污处理设施设备的正常运营。全县规模场养殖粪污利用台账建设工作已取得明显成效，在养的有粪污台账的达到100%。根据直联直报平台显示，全县畜禽粪污资源化利用率达到了89.02%。</w:t>
            </w:r>
          </w:p>
          <w:p w14:paraId="55E9140D">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eastAsia="仿宋_GB2312"/>
                <w:sz w:val="21"/>
                <w:szCs w:val="21"/>
              </w:rPr>
            </w:pPr>
          </w:p>
        </w:tc>
        <w:tc>
          <w:tcPr>
            <w:tcW w:w="972" w:type="dxa"/>
            <w:noWrap w:val="0"/>
            <w:vAlign w:val="center"/>
          </w:tcPr>
          <w:p w14:paraId="2CAF595E">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县农业农村局</w:t>
            </w:r>
            <w:r>
              <w:rPr>
                <w:rFonts w:hint="eastAsia" w:ascii="仿宋_GB2312" w:hAnsi="仿宋_GB2312" w:cs="仿宋_GB2312"/>
                <w:i w:val="0"/>
                <w:iCs w:val="0"/>
                <w:color w:val="000000"/>
                <w:kern w:val="0"/>
                <w:sz w:val="21"/>
                <w:szCs w:val="21"/>
                <w:u w:val="none"/>
                <w:lang w:val="en-US" w:eastAsia="zh-CN" w:bidi="ar"/>
              </w:rPr>
              <w:t>、各乡镇人民政府</w:t>
            </w:r>
          </w:p>
        </w:tc>
        <w:tc>
          <w:tcPr>
            <w:tcW w:w="792" w:type="dxa"/>
            <w:noWrap w:val="0"/>
            <w:vAlign w:val="center"/>
          </w:tcPr>
          <w:p w14:paraId="6F588FBB">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2024年12月，长期坚持</w:t>
            </w:r>
          </w:p>
        </w:tc>
      </w:tr>
      <w:tr w14:paraId="6B68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0" w:hRule="atLeast"/>
        </w:trPr>
        <w:tc>
          <w:tcPr>
            <w:tcW w:w="645" w:type="dxa"/>
            <w:noWrap w:val="0"/>
            <w:vAlign w:val="center"/>
          </w:tcPr>
          <w:p w14:paraId="12CD506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序号22(市序号40）</w:t>
            </w:r>
          </w:p>
        </w:tc>
        <w:tc>
          <w:tcPr>
            <w:tcW w:w="1618" w:type="dxa"/>
            <w:noWrap w:val="0"/>
            <w:vAlign w:val="center"/>
          </w:tcPr>
          <w:p w14:paraId="29889EFE">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eastAsia="仿宋_GB2312" w:cs="仿宋_GB2312"/>
                <w:sz w:val="21"/>
                <w:szCs w:val="21"/>
                <w:lang w:eastAsia="zh-CN"/>
              </w:rPr>
            </w:pPr>
            <w:r>
              <w:rPr>
                <w:rFonts w:hint="eastAsia" w:ascii="仿宋_GB2312" w:hAnsi="仿宋_GB2312" w:eastAsia="仿宋_GB2312" w:cs="仿宋_GB2312"/>
                <w:kern w:val="0"/>
                <w:sz w:val="21"/>
                <w:szCs w:val="21"/>
              </w:rPr>
              <w:t>农作物秸秆综合利用机制还不健全，低茬收割、离田利用、收贮运体系建设等措施有待加强，秸秆焚烧屡禁不止。</w:t>
            </w:r>
          </w:p>
        </w:tc>
        <w:tc>
          <w:tcPr>
            <w:tcW w:w="2268" w:type="dxa"/>
            <w:noWrap w:val="0"/>
            <w:vAlign w:val="center"/>
          </w:tcPr>
          <w:p w14:paraId="1DDE20FD">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eastAsia="仿宋_GB2312" w:cs="仿宋_GB2312"/>
                <w:sz w:val="21"/>
                <w:szCs w:val="21"/>
                <w:lang w:eastAsia="zh-CN"/>
              </w:rPr>
            </w:pPr>
            <w:r>
              <w:rPr>
                <w:rFonts w:hint="eastAsia" w:ascii="仿宋_GB2312" w:hAnsi="仿宋_GB2312" w:eastAsia="仿宋_GB2312" w:cs="仿宋_GB2312"/>
                <w:kern w:val="0"/>
                <w:sz w:val="21"/>
                <w:szCs w:val="21"/>
              </w:rPr>
              <w:t>健全秸秆综合利用机制，加强秸秆收贮运体系建设，提升秸秆综合利用率。加大农机手技术培训力度，遏制高茬收割现象。最大限度遏制露天焚烧秸秆行为，火点数量、面积持续下降。</w:t>
            </w:r>
          </w:p>
        </w:tc>
        <w:tc>
          <w:tcPr>
            <w:tcW w:w="3084" w:type="dxa"/>
            <w:noWrap w:val="0"/>
            <w:vAlign w:val="center"/>
          </w:tcPr>
          <w:p w14:paraId="16B2ECB9">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396" w:firstLineChars="200"/>
              <w:textAlignment w:val="auto"/>
              <w:rPr>
                <w:rFonts w:hint="eastAsia" w:ascii="仿宋_GB2312" w:hAnsi="仿宋_GB2312" w:eastAsia="仿宋_GB2312" w:cs="仿宋_GB2312"/>
                <w:i w:val="0"/>
                <w:iCs w:val="0"/>
                <w:color w:val="000000"/>
                <w:spacing w:val="-6"/>
                <w:kern w:val="0"/>
                <w:sz w:val="21"/>
                <w:szCs w:val="21"/>
                <w:u w:val="none"/>
                <w:lang w:val="en-US" w:eastAsia="zh-CN" w:bidi="ar"/>
              </w:rPr>
            </w:pPr>
            <w:r>
              <w:rPr>
                <w:rFonts w:hint="eastAsia" w:ascii="仿宋_GB2312" w:hAnsi="仿宋_GB2312" w:eastAsia="仿宋_GB2312" w:cs="仿宋_GB2312"/>
                <w:i w:val="0"/>
                <w:iCs w:val="0"/>
                <w:color w:val="000000"/>
                <w:spacing w:val="-6"/>
                <w:kern w:val="0"/>
                <w:sz w:val="21"/>
                <w:szCs w:val="21"/>
                <w:u w:val="none"/>
                <w:lang w:val="en-US" w:eastAsia="zh-CN" w:bidi="ar"/>
              </w:rPr>
              <w:t>（一）压实工作责任。强化乡镇、村组、农户四级联防联控的禁烧防控责任体系和县、乡镇包村、村包组、组包户的秸秆综合利用责任体系，切实将责任落实到具体单位和个人，落实分级分区负责、联合执法等制度，确保秸秆露天禁烧和综合利用工作形成合力，有力有序有效推进。</w:t>
            </w:r>
          </w:p>
          <w:p w14:paraId="7FA13559">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396" w:firstLineChars="200"/>
              <w:textAlignment w:val="auto"/>
              <w:rPr>
                <w:rFonts w:hint="eastAsia" w:ascii="仿宋_GB2312" w:hAnsi="仿宋_GB2312" w:eastAsia="仿宋_GB2312" w:cs="仿宋_GB2312"/>
                <w:i w:val="0"/>
                <w:iCs w:val="0"/>
                <w:color w:val="000000"/>
                <w:spacing w:val="-6"/>
                <w:kern w:val="0"/>
                <w:sz w:val="21"/>
                <w:szCs w:val="21"/>
                <w:u w:val="none"/>
                <w:lang w:val="en-US" w:eastAsia="zh-CN" w:bidi="ar"/>
              </w:rPr>
            </w:pPr>
            <w:r>
              <w:rPr>
                <w:rFonts w:hint="eastAsia" w:ascii="仿宋_GB2312" w:hAnsi="仿宋_GB2312" w:eastAsia="仿宋_GB2312" w:cs="仿宋_GB2312"/>
                <w:i w:val="0"/>
                <w:iCs w:val="0"/>
                <w:color w:val="000000"/>
                <w:spacing w:val="-6"/>
                <w:kern w:val="0"/>
                <w:sz w:val="21"/>
                <w:szCs w:val="21"/>
                <w:u w:val="none"/>
                <w:lang w:val="en-US" w:eastAsia="zh-CN" w:bidi="ar"/>
              </w:rPr>
              <w:t>（二）加强源头治理。加强农机手培训，签订承诺书，要求安装低茬切割器，严格按照秸秆还田标准进行作业。加强秸秆收储运体系建设。大力推进秸秆离田高效利用，提高秸秆饲料化、基料化利用率，吸引社会资本积极参与秸秆综合利用、提高秸秆还田技术水平。</w:t>
            </w:r>
          </w:p>
          <w:p w14:paraId="2FC029A3">
            <w:pPr>
              <w:keepNext w:val="0"/>
              <w:keepLines w:val="0"/>
              <w:pageBreakBefore w:val="0"/>
              <w:widowControl w:val="0"/>
              <w:kinsoku/>
              <w:wordWrap/>
              <w:overflowPunct/>
              <w:topLinePunct w:val="0"/>
              <w:autoSpaceDE/>
              <w:autoSpaceDN/>
              <w:bidi w:val="0"/>
              <w:adjustRightInd/>
              <w:snapToGrid/>
              <w:spacing w:line="280" w:lineRule="exact"/>
              <w:ind w:firstLine="396" w:firstLineChars="200"/>
              <w:jc w:val="left"/>
              <w:textAlignment w:val="auto"/>
              <w:rPr>
                <w:rFonts w:hint="eastAsia" w:ascii="仿宋_GB2312" w:eastAsia="仿宋_GB2312" w:cs="仿宋_GB2312"/>
                <w:sz w:val="21"/>
                <w:szCs w:val="21"/>
                <w:lang w:eastAsia="zh-CN"/>
              </w:rPr>
            </w:pPr>
            <w:r>
              <w:rPr>
                <w:rFonts w:hint="eastAsia" w:ascii="仿宋_GB2312" w:hAnsi="仿宋_GB2312" w:eastAsia="仿宋_GB2312" w:cs="仿宋_GB2312"/>
                <w:i w:val="0"/>
                <w:iCs w:val="0"/>
                <w:color w:val="000000"/>
                <w:spacing w:val="-6"/>
                <w:kern w:val="0"/>
                <w:sz w:val="21"/>
                <w:szCs w:val="21"/>
                <w:u w:val="none"/>
                <w:lang w:val="en-US" w:eastAsia="zh-CN" w:bidi="ar"/>
              </w:rPr>
              <w:t>（三）强化宣传引导。利用电视台、广播、新媒体平台等各类载体，广泛宣传秸秆禁烧工作的重要意义、露天焚烧秸秆的危害和法律责任，不断增强广大农民群众法律意识和环保意识。</w:t>
            </w:r>
          </w:p>
        </w:tc>
        <w:tc>
          <w:tcPr>
            <w:tcW w:w="5269" w:type="dxa"/>
            <w:noWrap w:val="0"/>
            <w:vAlign w:val="center"/>
          </w:tcPr>
          <w:p w14:paraId="2BA59F9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完善监管体系，形成“不敢烧”的局面。一是完善奖补体系。对规范作业的秸秆还田机械社会化服务组织的农机手给予社会化服务补贴。对购置符合规范的收割机械给予农机补贴，对将秸秆饲料化规模牛养殖场给予产业补贴。二是完善巡查体系。横向建立了生态环境、公安、交通、城管、林业等职能部门执法联动的巡查机制，纵向建立了县、乡、村、组四级联防联控巡查机制。三是完善通报体系。充分依托环境监管员创新机制，把秸秆禁烧巡查报告纳入环境监管员重要考核内容，延伸环境监管触角，实现专人专抓。四是完善追责体系。坚持“露头就打”“不搞下不为例”的硬要求，对发现的露天焚烧秸秆行为从严查处、从快问责。</w:t>
            </w:r>
          </w:p>
          <w:p w14:paraId="2AC74B7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落实好用电、用地、贷款贴息、三农保险等惠农政策，对参与秸秆还田机械社会化服务组织的农机手，如果能按要求收割留茬的，给予一定社会化服务补贴。对购置收割机械，享受农机补贴，对规模牛养殖场如果能将秸秆饲料化的给予一定补贴。</w:t>
            </w:r>
          </w:p>
          <w:p w14:paraId="3CB3866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在秋冬农业开发期间，利用微信群、电话等各类载体，加大秸秆综合利用先进科学还田技术科普宣传力度，让低茬收割”禁烧利用”成为广大农民的自觉行为。</w:t>
            </w:r>
          </w:p>
          <w:p w14:paraId="34C61473">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eastAsia="仿宋_GB2312"/>
                <w:sz w:val="21"/>
                <w:szCs w:val="21"/>
              </w:rPr>
            </w:pPr>
          </w:p>
        </w:tc>
        <w:tc>
          <w:tcPr>
            <w:tcW w:w="972" w:type="dxa"/>
            <w:noWrap w:val="0"/>
            <w:vAlign w:val="center"/>
          </w:tcPr>
          <w:p w14:paraId="085B7851">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县农业农村局、咸宁市生态环境局通城县分局</w:t>
            </w:r>
            <w:r>
              <w:rPr>
                <w:rFonts w:hint="eastAsia" w:ascii="仿宋_GB2312" w:hAnsi="仿宋_GB2312" w:cs="仿宋_GB2312"/>
                <w:i w:val="0"/>
                <w:iCs w:val="0"/>
                <w:color w:val="000000"/>
                <w:kern w:val="0"/>
                <w:sz w:val="21"/>
                <w:szCs w:val="21"/>
                <w:u w:val="none"/>
                <w:lang w:val="en-US" w:eastAsia="zh-CN" w:bidi="ar"/>
              </w:rPr>
              <w:t>、各乡镇人民政府</w:t>
            </w:r>
          </w:p>
        </w:tc>
        <w:tc>
          <w:tcPr>
            <w:tcW w:w="792" w:type="dxa"/>
            <w:noWrap w:val="0"/>
            <w:vAlign w:val="center"/>
          </w:tcPr>
          <w:p w14:paraId="29B3B21D">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立即整改，长期坚持。2024年12月底前销号</w:t>
            </w:r>
          </w:p>
        </w:tc>
      </w:tr>
    </w:tbl>
    <w:p w14:paraId="7C70D289">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val="0"/>
        <w:overflowPunct/>
        <w:topLinePunct w:val="0"/>
        <w:autoSpaceDE/>
        <w:autoSpaceDN/>
        <w:bidi w:val="0"/>
        <w:adjustRightInd/>
        <w:snapToGrid/>
        <w:spacing w:beforeLines="0" w:afterLines="0" w:line="240" w:lineRule="auto"/>
        <w:jc w:val="both"/>
        <w:textAlignment w:val="auto"/>
        <w:rPr>
          <w:rFonts w:hint="default" w:ascii="仿宋_GB2312" w:hAnsi="仿宋_GB2312" w:cs="仿宋_GB2312"/>
          <w:sz w:val="24"/>
          <w:szCs w:val="24"/>
          <w:lang w:val="en-US" w:eastAsia="zh-CN"/>
        </w:rPr>
      </w:pPr>
      <w:bookmarkStart w:id="0" w:name="_GoBack"/>
      <w:bookmarkEnd w:id="0"/>
    </w:p>
    <w:p w14:paraId="4B5A161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F6990"/>
    <w:rsid w:val="11BF6990"/>
    <w:rsid w:val="5A8F099A"/>
    <w:rsid w:val="6DAE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2568</Words>
  <Characters>2681</Characters>
  <Lines>0</Lines>
  <Paragraphs>0</Paragraphs>
  <TotalTime>0</TotalTime>
  <ScaleCrop>false</ScaleCrop>
  <LinksUpToDate>false</LinksUpToDate>
  <CharactersWithSpaces>2681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2024-12-13T06:35:00Z</dcterms:created>
  <dc:creator>8237476611</dc:creator>
  <cp:lastModifiedBy>8237476611</cp:lastModifiedBy>
  <dcterms:modified xsi:type="dcterms:W3CDTF">2024-12-13T07:31:49Z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892D804DC06E4A4A97D562AB84521231_11</vt:lpwstr>
  </property>
</Properties>
</file>