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jc w:val="center"/>
        <w:rPr>
          <w:rFonts w:ascii="Times New Roman" w:hAnsi="Times New Roman" w:eastAsia="仿宋" w:cs="Times New Roman"/>
          <w:b/>
          <w:color w:val="000000"/>
          <w:kern w:val="0"/>
          <w:sz w:val="72"/>
          <w:szCs w:val="72"/>
        </w:rPr>
      </w:pPr>
      <w:r>
        <w:rPr>
          <w:rFonts w:ascii="Times New Roman" w:hAnsi="Times New Roman" w:eastAsia="仿宋" w:cs="Times New Roman"/>
          <w:b/>
          <w:color w:val="000000"/>
          <w:kern w:val="0"/>
          <w:sz w:val="72"/>
          <w:szCs w:val="72"/>
        </w:rPr>
        <w:t>通城县重污染天气应急预案</w:t>
      </w:r>
    </w:p>
    <w:p>
      <w:pPr>
        <w:jc w:val="center"/>
        <w:rPr>
          <w:rFonts w:hint="eastAsia" w:ascii="Times New Roman" w:hAnsi="Times New Roman" w:eastAsia="仿宋" w:cs="Times New Roman"/>
          <w:b/>
          <w:color w:val="000000"/>
          <w:kern w:val="0"/>
          <w:sz w:val="56"/>
          <w:szCs w:val="72"/>
          <w:lang w:eastAsia="zh-CN"/>
        </w:rPr>
      </w:pPr>
      <w:r>
        <w:rPr>
          <w:rFonts w:hint="eastAsia" w:ascii="Times New Roman" w:hAnsi="Times New Roman" w:eastAsia="仿宋" w:cs="Times New Roman"/>
          <w:b/>
          <w:color w:val="000000"/>
          <w:kern w:val="0"/>
          <w:sz w:val="56"/>
          <w:szCs w:val="72"/>
          <w:lang w:eastAsia="zh-CN"/>
        </w:rPr>
        <w:t>（</w:t>
      </w:r>
      <w:r>
        <w:rPr>
          <w:rFonts w:hint="eastAsia" w:ascii="Times New Roman" w:hAnsi="Times New Roman" w:eastAsia="仿宋" w:cs="Times New Roman"/>
          <w:b/>
          <w:color w:val="000000"/>
          <w:kern w:val="0"/>
          <w:sz w:val="56"/>
          <w:szCs w:val="72"/>
          <w:lang w:val="en-US" w:eastAsia="zh-CN"/>
        </w:rPr>
        <w:t>2023年修订</w:t>
      </w:r>
      <w:r>
        <w:rPr>
          <w:rFonts w:hint="eastAsia" w:ascii="Times New Roman" w:hAnsi="Times New Roman" w:eastAsia="仿宋" w:cs="Times New Roman"/>
          <w:b/>
          <w:color w:val="000000"/>
          <w:kern w:val="0"/>
          <w:sz w:val="56"/>
          <w:szCs w:val="72"/>
          <w:lang w:eastAsia="zh-CN"/>
        </w:rPr>
        <w:t>）</w:t>
      </w:r>
    </w:p>
    <w:p>
      <w:pPr>
        <w:ind w:firstLine="880"/>
        <w:jc w:val="center"/>
        <w:rPr>
          <w:rFonts w:ascii="Times New Roman" w:hAnsi="Times New Roman" w:eastAsia="仿宋" w:cs="Times New Roman"/>
          <w:color w:val="000000"/>
          <w:kern w:val="0"/>
          <w:sz w:val="44"/>
          <w:szCs w:val="44"/>
        </w:rPr>
      </w:pPr>
    </w:p>
    <w:p>
      <w:pPr>
        <w:ind w:firstLine="560"/>
        <w:jc w:val="center"/>
        <w:rPr>
          <w:rFonts w:ascii="Times New Roman" w:hAnsi="Times New Roman" w:eastAsia="仿宋" w:cs="Times New Roman"/>
          <w:color w:val="000000"/>
          <w:kern w:val="0"/>
          <w:szCs w:val="44"/>
        </w:rPr>
      </w:pPr>
    </w:p>
    <w:p>
      <w:pPr>
        <w:ind w:firstLine="880"/>
        <w:jc w:val="center"/>
        <w:rPr>
          <w:rFonts w:ascii="Times New Roman" w:hAnsi="Times New Roman" w:eastAsia="仿宋" w:cs="Times New Roman"/>
          <w:color w:val="000000"/>
          <w:kern w:val="0"/>
          <w:sz w:val="44"/>
          <w:szCs w:val="44"/>
        </w:rPr>
      </w:pPr>
    </w:p>
    <w:p>
      <w:pPr>
        <w:ind w:firstLine="880"/>
        <w:jc w:val="center"/>
        <w:rPr>
          <w:rFonts w:ascii="Times New Roman" w:hAnsi="Times New Roman" w:eastAsia="仿宋" w:cs="Times New Roman"/>
          <w:color w:val="000000"/>
          <w:kern w:val="0"/>
          <w:sz w:val="44"/>
          <w:szCs w:val="44"/>
        </w:rPr>
      </w:pPr>
    </w:p>
    <w:p>
      <w:pPr>
        <w:ind w:firstLine="880"/>
        <w:jc w:val="center"/>
        <w:rPr>
          <w:rFonts w:ascii="Times New Roman" w:hAnsi="Times New Roman" w:eastAsia="仿宋" w:cs="Times New Roman"/>
          <w:color w:val="000000"/>
          <w:kern w:val="0"/>
          <w:sz w:val="44"/>
          <w:szCs w:val="44"/>
        </w:rPr>
      </w:pPr>
    </w:p>
    <w:p>
      <w:pPr>
        <w:ind w:firstLine="880"/>
        <w:jc w:val="center"/>
        <w:rPr>
          <w:rFonts w:ascii="Times New Roman" w:hAnsi="Times New Roman" w:eastAsia="仿宋" w:cs="Times New Roman"/>
          <w:color w:val="000000"/>
          <w:kern w:val="0"/>
          <w:sz w:val="44"/>
          <w:szCs w:val="44"/>
        </w:rPr>
      </w:pPr>
    </w:p>
    <w:p>
      <w:pPr>
        <w:ind w:firstLine="880"/>
        <w:jc w:val="center"/>
        <w:rPr>
          <w:rFonts w:ascii="Times New Roman" w:hAnsi="Times New Roman" w:eastAsia="仿宋" w:cs="Times New Roman"/>
          <w:color w:val="000000"/>
          <w:kern w:val="0"/>
          <w:sz w:val="44"/>
          <w:szCs w:val="44"/>
        </w:rPr>
      </w:pPr>
    </w:p>
    <w:p>
      <w:pPr>
        <w:ind w:firstLine="880"/>
        <w:jc w:val="center"/>
        <w:rPr>
          <w:rFonts w:ascii="Times New Roman" w:hAnsi="Times New Roman" w:eastAsia="仿宋" w:cs="Times New Roman"/>
          <w:color w:val="000000"/>
          <w:kern w:val="0"/>
          <w:sz w:val="44"/>
          <w:szCs w:val="44"/>
        </w:rPr>
      </w:pPr>
    </w:p>
    <w:p>
      <w:pPr>
        <w:ind w:firstLine="880"/>
        <w:jc w:val="center"/>
        <w:rPr>
          <w:rFonts w:ascii="Times New Roman" w:hAnsi="Times New Roman" w:eastAsia="仿宋" w:cs="Times New Roman"/>
          <w:color w:val="000000"/>
          <w:kern w:val="0"/>
          <w:sz w:val="44"/>
          <w:szCs w:val="44"/>
        </w:rPr>
      </w:pPr>
    </w:p>
    <w:p>
      <w:pPr>
        <w:spacing w:before="312" w:beforeLines="100" w:after="312" w:afterLines="100"/>
        <w:rPr>
          <w:rFonts w:ascii="Times New Roman" w:hAnsi="Times New Roman" w:eastAsia="仿宋" w:cs="Times New Roman"/>
          <w:b/>
          <w:color w:val="000000"/>
          <w:sz w:val="36"/>
          <w:szCs w:val="36"/>
        </w:rPr>
      </w:pPr>
    </w:p>
    <w:p>
      <w:pPr>
        <w:spacing w:before="312" w:beforeLines="100" w:after="312" w:afterLines="100"/>
        <w:rPr>
          <w:rFonts w:ascii="Times New Roman" w:hAnsi="Times New Roman" w:eastAsia="仿宋" w:cs="Times New Roman"/>
          <w:b/>
          <w:color w:val="000000"/>
          <w:sz w:val="36"/>
          <w:szCs w:val="36"/>
        </w:rPr>
      </w:pPr>
    </w:p>
    <w:p>
      <w:pPr>
        <w:spacing w:before="312" w:beforeLines="100" w:after="312" w:afterLines="100"/>
        <w:jc w:val="center"/>
        <w:rPr>
          <w:rFonts w:ascii="Times New Roman" w:hAnsi="Times New Roman" w:eastAsia="仿宋" w:cs="Times New Roman"/>
          <w:b/>
          <w:color w:val="000000"/>
          <w:sz w:val="48"/>
          <w:szCs w:val="36"/>
        </w:rPr>
        <w:sectPr>
          <w:footerReference r:id="rId7" w:type="first"/>
          <w:headerReference r:id="rId3" w:type="default"/>
          <w:footerReference r:id="rId5" w:type="default"/>
          <w:headerReference r:id="rId4" w:type="even"/>
          <w:footerReference r:id="rId6" w:type="even"/>
          <w:pgSz w:w="11906" w:h="16838"/>
          <w:pgMar w:top="1361" w:right="1134" w:bottom="1361" w:left="1134" w:header="851" w:footer="992" w:gutter="0"/>
          <w:pgNumType w:start="1"/>
          <w:cols w:space="720" w:num="1"/>
          <w:titlePg/>
          <w:docGrid w:type="lines" w:linePitch="312" w:charSpace="0"/>
        </w:sectPr>
      </w:pPr>
      <w:r>
        <w:rPr>
          <w:rFonts w:ascii="Times New Roman" w:hAnsi="Times New Roman" w:eastAsia="仿宋" w:cs="Times New Roman"/>
          <w:b/>
          <w:color w:val="000000"/>
          <w:sz w:val="48"/>
          <w:szCs w:val="36"/>
        </w:rPr>
        <w:t>202</w:t>
      </w:r>
      <w:r>
        <w:rPr>
          <w:rFonts w:hint="eastAsia" w:ascii="Times New Roman" w:hAnsi="Times New Roman" w:eastAsia="仿宋" w:cs="Times New Roman"/>
          <w:b/>
          <w:color w:val="000000"/>
          <w:sz w:val="48"/>
          <w:szCs w:val="36"/>
          <w:lang w:val="en-US" w:eastAsia="zh-CN"/>
        </w:rPr>
        <w:t>3</w:t>
      </w:r>
      <w:r>
        <w:rPr>
          <w:rFonts w:ascii="Times New Roman" w:hAnsi="Times New Roman" w:eastAsia="仿宋" w:cs="Times New Roman"/>
          <w:b/>
          <w:color w:val="000000"/>
          <w:sz w:val="48"/>
          <w:szCs w:val="36"/>
        </w:rPr>
        <w:t>年</w:t>
      </w:r>
      <w:r>
        <w:rPr>
          <w:rFonts w:hint="eastAsia" w:ascii="Times New Roman" w:hAnsi="Times New Roman" w:eastAsia="仿宋" w:cs="Times New Roman"/>
          <w:b/>
          <w:color w:val="000000"/>
          <w:sz w:val="48"/>
          <w:szCs w:val="36"/>
          <w:lang w:val="en-US" w:eastAsia="zh-CN"/>
        </w:rPr>
        <w:t>6</w:t>
      </w:r>
      <w:r>
        <w:rPr>
          <w:rFonts w:ascii="Times New Roman" w:hAnsi="Times New Roman" w:eastAsia="仿宋" w:cs="Times New Roman"/>
          <w:b/>
          <w:color w:val="000000"/>
          <w:sz w:val="48"/>
          <w:szCs w:val="36"/>
        </w:rPr>
        <w:t>月</w:t>
      </w:r>
    </w:p>
    <w:p>
      <w:pPr>
        <w:pStyle w:val="23"/>
        <w:jc w:val="center"/>
        <w:rPr>
          <w:rFonts w:ascii="Times New Roman" w:hAnsi="Times New Roman" w:eastAsia="仿宋" w:cs="Times New Roman"/>
          <w:b/>
          <w:color w:val="auto"/>
          <w:sz w:val="44"/>
        </w:rPr>
      </w:pPr>
      <w:r>
        <w:rPr>
          <w:rFonts w:ascii="Times New Roman" w:hAnsi="Times New Roman" w:eastAsia="仿宋" w:cs="Times New Roman"/>
          <w:b/>
          <w:color w:val="auto"/>
          <w:sz w:val="44"/>
          <w:lang w:val="zh-CN"/>
        </w:rPr>
        <w:t>目  录</w:t>
      </w:r>
    </w:p>
    <w:p>
      <w:pPr>
        <w:pStyle w:val="13"/>
        <w:tabs>
          <w:tab w:val="right" w:leader="dot" w:pos="8296"/>
        </w:tabs>
        <w:ind w:firstLine="480"/>
        <w:rPr>
          <w:rFonts w:asciiTheme="minorHAnsi" w:hAnsiTheme="minorHAnsi" w:eastAsiaTheme="minorEastAsia" w:cstheme="minorBidi"/>
          <w:sz w:val="24"/>
          <w:szCs w:val="24"/>
        </w:rPr>
      </w:pPr>
      <w:r>
        <w:rPr>
          <w:rFonts w:cs="Times New Roman"/>
          <w:sz w:val="24"/>
          <w:szCs w:val="24"/>
        </w:rPr>
        <w:fldChar w:fldCharType="begin"/>
      </w:r>
      <w:r>
        <w:rPr>
          <w:rFonts w:cs="Times New Roman"/>
          <w:sz w:val="24"/>
          <w:szCs w:val="24"/>
        </w:rPr>
        <w:instrText xml:space="preserve"> TOC \o "1-3" \h \z \u </w:instrText>
      </w:r>
      <w:r>
        <w:rPr>
          <w:rFonts w:cs="Times New Roman"/>
          <w:sz w:val="24"/>
          <w:szCs w:val="24"/>
        </w:rPr>
        <w:fldChar w:fldCharType="separate"/>
      </w:r>
      <w:r>
        <w:fldChar w:fldCharType="begin"/>
      </w:r>
      <w:r>
        <w:instrText xml:space="preserve"> HYPERLINK \l "_Toc127188288" </w:instrText>
      </w:r>
      <w:r>
        <w:fldChar w:fldCharType="separate"/>
      </w:r>
      <w:r>
        <w:rPr>
          <w:rStyle w:val="19"/>
          <w:sz w:val="24"/>
          <w:szCs w:val="24"/>
        </w:rPr>
        <w:t>前    言</w:t>
      </w:r>
      <w:r>
        <w:rPr>
          <w:sz w:val="24"/>
          <w:szCs w:val="24"/>
        </w:rPr>
        <w:tab/>
      </w:r>
      <w:r>
        <w:rPr>
          <w:sz w:val="24"/>
          <w:szCs w:val="24"/>
        </w:rPr>
        <w:fldChar w:fldCharType="begin"/>
      </w:r>
      <w:r>
        <w:rPr>
          <w:sz w:val="24"/>
          <w:szCs w:val="24"/>
        </w:rPr>
        <w:instrText xml:space="preserve"> PAGEREF _Toc127188288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"_Toc127188289" </w:instrText>
      </w:r>
      <w:r>
        <w:fldChar w:fldCharType="separate"/>
      </w:r>
      <w:r>
        <w:rPr>
          <w:rStyle w:val="19"/>
          <w:sz w:val="24"/>
          <w:szCs w:val="24"/>
        </w:rPr>
        <w:t>1 总则</w:t>
      </w:r>
      <w:r>
        <w:rPr>
          <w:sz w:val="24"/>
          <w:szCs w:val="24"/>
        </w:rPr>
        <w:tab/>
      </w:r>
      <w:r>
        <w:rPr>
          <w:sz w:val="24"/>
          <w:szCs w:val="24"/>
        </w:rPr>
        <w:fldChar w:fldCharType="begin"/>
      </w:r>
      <w:r>
        <w:rPr>
          <w:sz w:val="24"/>
          <w:szCs w:val="24"/>
        </w:rPr>
        <w:instrText xml:space="preserve"> PAGEREF _Toc127188289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"_Toc127188290" </w:instrText>
      </w:r>
      <w:r>
        <w:fldChar w:fldCharType="separate"/>
      </w:r>
      <w:r>
        <w:rPr>
          <w:rStyle w:val="19"/>
          <w:rFonts w:cs="Times New Roman"/>
          <w:sz w:val="24"/>
          <w:szCs w:val="24"/>
        </w:rPr>
        <w:t>1.1 编制目的</w:t>
      </w:r>
      <w:r>
        <w:rPr>
          <w:sz w:val="24"/>
          <w:szCs w:val="24"/>
        </w:rPr>
        <w:tab/>
      </w:r>
      <w:r>
        <w:rPr>
          <w:sz w:val="24"/>
          <w:szCs w:val="24"/>
        </w:rPr>
        <w:fldChar w:fldCharType="begin"/>
      </w:r>
      <w:r>
        <w:rPr>
          <w:sz w:val="24"/>
          <w:szCs w:val="24"/>
        </w:rPr>
        <w:instrText xml:space="preserve"> PAGEREF _Toc127188290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"_Toc127188291" </w:instrText>
      </w:r>
      <w:r>
        <w:fldChar w:fldCharType="separate"/>
      </w:r>
      <w:r>
        <w:rPr>
          <w:rStyle w:val="19"/>
          <w:rFonts w:cs="Times New Roman"/>
          <w:sz w:val="24"/>
          <w:szCs w:val="24"/>
        </w:rPr>
        <w:t>1.2 编制依据</w:t>
      </w:r>
      <w:r>
        <w:rPr>
          <w:sz w:val="24"/>
          <w:szCs w:val="24"/>
        </w:rPr>
        <w:tab/>
      </w:r>
      <w:r>
        <w:rPr>
          <w:sz w:val="24"/>
          <w:szCs w:val="24"/>
        </w:rPr>
        <w:fldChar w:fldCharType="begin"/>
      </w:r>
      <w:r>
        <w:rPr>
          <w:sz w:val="24"/>
          <w:szCs w:val="24"/>
        </w:rPr>
        <w:instrText xml:space="preserve"> PAGEREF _Toc127188291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"_Toc127188292" </w:instrText>
      </w:r>
      <w:r>
        <w:fldChar w:fldCharType="separate"/>
      </w:r>
      <w:r>
        <w:rPr>
          <w:rStyle w:val="19"/>
          <w:rFonts w:cs="Times New Roman"/>
          <w:sz w:val="24"/>
          <w:szCs w:val="24"/>
        </w:rPr>
        <w:t>1.3 适用范围</w:t>
      </w:r>
      <w:r>
        <w:rPr>
          <w:sz w:val="24"/>
          <w:szCs w:val="24"/>
        </w:rPr>
        <w:tab/>
      </w:r>
      <w:r>
        <w:rPr>
          <w:sz w:val="24"/>
          <w:szCs w:val="24"/>
        </w:rPr>
        <w:fldChar w:fldCharType="begin"/>
      </w:r>
      <w:r>
        <w:rPr>
          <w:sz w:val="24"/>
          <w:szCs w:val="24"/>
        </w:rPr>
        <w:instrText xml:space="preserve"> PAGEREF _Toc127188292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"_Toc127188293" </w:instrText>
      </w:r>
      <w:r>
        <w:fldChar w:fldCharType="separate"/>
      </w:r>
      <w:r>
        <w:rPr>
          <w:rStyle w:val="19"/>
          <w:rFonts w:cs="Times New Roman"/>
          <w:sz w:val="24"/>
          <w:szCs w:val="24"/>
        </w:rPr>
        <w:t>1.4 预案体系</w:t>
      </w:r>
      <w:r>
        <w:rPr>
          <w:sz w:val="24"/>
          <w:szCs w:val="24"/>
        </w:rPr>
        <w:tab/>
      </w:r>
      <w:r>
        <w:rPr>
          <w:sz w:val="24"/>
          <w:szCs w:val="24"/>
        </w:rPr>
        <w:fldChar w:fldCharType="begin"/>
      </w:r>
      <w:r>
        <w:rPr>
          <w:sz w:val="24"/>
          <w:szCs w:val="24"/>
        </w:rPr>
        <w:instrText xml:space="preserve"> PAGEREF _Toc127188293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"_Toc127188294" </w:instrText>
      </w:r>
      <w:r>
        <w:fldChar w:fldCharType="separate"/>
      </w:r>
      <w:r>
        <w:rPr>
          <w:rStyle w:val="19"/>
          <w:rFonts w:cs="Times New Roman"/>
          <w:sz w:val="24"/>
          <w:szCs w:val="24"/>
        </w:rPr>
        <w:t>1.5工作原则</w:t>
      </w:r>
      <w:r>
        <w:rPr>
          <w:sz w:val="24"/>
          <w:szCs w:val="24"/>
        </w:rPr>
        <w:tab/>
      </w:r>
      <w:r>
        <w:rPr>
          <w:sz w:val="24"/>
          <w:szCs w:val="24"/>
        </w:rPr>
        <w:fldChar w:fldCharType="begin"/>
      </w:r>
      <w:r>
        <w:rPr>
          <w:sz w:val="24"/>
          <w:szCs w:val="24"/>
        </w:rPr>
        <w:instrText xml:space="preserve"> PAGEREF _Toc127188294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"_Toc127188295" </w:instrText>
      </w:r>
      <w:r>
        <w:fldChar w:fldCharType="separate"/>
      </w:r>
      <w:r>
        <w:rPr>
          <w:rStyle w:val="19"/>
          <w:sz w:val="24"/>
          <w:szCs w:val="24"/>
        </w:rPr>
        <w:t>2 组织机构与职责</w:t>
      </w:r>
      <w:r>
        <w:rPr>
          <w:sz w:val="24"/>
          <w:szCs w:val="24"/>
        </w:rPr>
        <w:tab/>
      </w:r>
      <w:r>
        <w:rPr>
          <w:sz w:val="24"/>
          <w:szCs w:val="24"/>
        </w:rPr>
        <w:fldChar w:fldCharType="begin"/>
      </w:r>
      <w:r>
        <w:rPr>
          <w:sz w:val="24"/>
          <w:szCs w:val="24"/>
        </w:rPr>
        <w:instrText xml:space="preserve"> PAGEREF _Toc127188295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"_Toc127188296" </w:instrText>
      </w:r>
      <w:r>
        <w:fldChar w:fldCharType="separate"/>
      </w:r>
      <w:r>
        <w:rPr>
          <w:rStyle w:val="19"/>
          <w:rFonts w:cs="Times New Roman"/>
          <w:sz w:val="24"/>
          <w:szCs w:val="24"/>
        </w:rPr>
        <w:t>2.1 县重污染天气应急指挥部</w:t>
      </w:r>
      <w:r>
        <w:rPr>
          <w:sz w:val="24"/>
          <w:szCs w:val="24"/>
        </w:rPr>
        <w:tab/>
      </w:r>
      <w:r>
        <w:rPr>
          <w:sz w:val="24"/>
          <w:szCs w:val="24"/>
        </w:rPr>
        <w:fldChar w:fldCharType="begin"/>
      </w:r>
      <w:r>
        <w:rPr>
          <w:sz w:val="24"/>
          <w:szCs w:val="24"/>
        </w:rPr>
        <w:instrText xml:space="preserve"> PAGEREF _Toc127188296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"_Toc127188297" </w:instrText>
      </w:r>
      <w:r>
        <w:fldChar w:fldCharType="separate"/>
      </w:r>
      <w:r>
        <w:rPr>
          <w:rStyle w:val="19"/>
          <w:rFonts w:cs="Times New Roman"/>
          <w:sz w:val="24"/>
          <w:szCs w:val="24"/>
        </w:rPr>
        <w:t>2.2 县重污染天气应急指挥部办公室</w:t>
      </w:r>
      <w:r>
        <w:rPr>
          <w:sz w:val="24"/>
          <w:szCs w:val="24"/>
        </w:rPr>
        <w:tab/>
      </w:r>
      <w:r>
        <w:rPr>
          <w:sz w:val="24"/>
          <w:szCs w:val="24"/>
        </w:rPr>
        <w:fldChar w:fldCharType="begin"/>
      </w:r>
      <w:r>
        <w:rPr>
          <w:sz w:val="24"/>
          <w:szCs w:val="24"/>
        </w:rPr>
        <w:instrText xml:space="preserve"> PAGEREF _Toc127188297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"_Toc127188298" </w:instrText>
      </w:r>
      <w:r>
        <w:fldChar w:fldCharType="separate"/>
      </w:r>
      <w:r>
        <w:rPr>
          <w:rStyle w:val="19"/>
          <w:rFonts w:cs="Times New Roman"/>
          <w:sz w:val="24"/>
          <w:szCs w:val="24"/>
        </w:rPr>
        <w:t>2.3 通城县重污染天气应急工作组</w:t>
      </w:r>
      <w:r>
        <w:rPr>
          <w:sz w:val="24"/>
          <w:szCs w:val="24"/>
        </w:rPr>
        <w:tab/>
      </w:r>
      <w:r>
        <w:rPr>
          <w:sz w:val="24"/>
          <w:szCs w:val="24"/>
        </w:rPr>
        <w:fldChar w:fldCharType="begin"/>
      </w:r>
      <w:r>
        <w:rPr>
          <w:sz w:val="24"/>
          <w:szCs w:val="24"/>
        </w:rPr>
        <w:instrText xml:space="preserve"> PAGEREF _Toc127188298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"_Toc127188299" </w:instrText>
      </w:r>
      <w:r>
        <w:fldChar w:fldCharType="separate"/>
      </w:r>
      <w:r>
        <w:rPr>
          <w:rStyle w:val="19"/>
          <w:rFonts w:cs="Times New Roman"/>
          <w:sz w:val="24"/>
          <w:szCs w:val="24"/>
        </w:rPr>
        <w:t>2.4 通城县重污染天气应急指挥部成员单位</w:t>
      </w:r>
      <w:r>
        <w:rPr>
          <w:sz w:val="24"/>
          <w:szCs w:val="24"/>
        </w:rPr>
        <w:tab/>
      </w:r>
      <w:r>
        <w:rPr>
          <w:sz w:val="24"/>
          <w:szCs w:val="24"/>
        </w:rPr>
        <w:fldChar w:fldCharType="begin"/>
      </w:r>
      <w:r>
        <w:rPr>
          <w:sz w:val="24"/>
          <w:szCs w:val="24"/>
        </w:rPr>
        <w:instrText xml:space="preserve"> PAGEREF _Toc127188299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"_Toc127188300" </w:instrText>
      </w:r>
      <w:r>
        <w:fldChar w:fldCharType="separate"/>
      </w:r>
      <w:r>
        <w:rPr>
          <w:rStyle w:val="19"/>
          <w:sz w:val="24"/>
          <w:szCs w:val="24"/>
        </w:rPr>
        <w:t>3 应急准备</w:t>
      </w:r>
      <w:r>
        <w:rPr>
          <w:sz w:val="24"/>
          <w:szCs w:val="24"/>
        </w:rPr>
        <w:tab/>
      </w:r>
      <w:r>
        <w:rPr>
          <w:sz w:val="24"/>
          <w:szCs w:val="24"/>
        </w:rPr>
        <w:fldChar w:fldCharType="begin"/>
      </w:r>
      <w:r>
        <w:rPr>
          <w:sz w:val="24"/>
          <w:szCs w:val="24"/>
        </w:rPr>
        <w:instrText xml:space="preserve"> PAGEREF _Toc127188300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"_Toc127188301" </w:instrText>
      </w:r>
      <w:r>
        <w:fldChar w:fldCharType="separate"/>
      </w:r>
      <w:r>
        <w:rPr>
          <w:rStyle w:val="19"/>
          <w:rFonts w:cs="Times New Roman"/>
          <w:sz w:val="24"/>
          <w:szCs w:val="24"/>
        </w:rPr>
        <w:t>3.1修订应急减排清单</w:t>
      </w:r>
      <w:r>
        <w:rPr>
          <w:sz w:val="24"/>
          <w:szCs w:val="24"/>
        </w:rPr>
        <w:tab/>
      </w:r>
      <w:r>
        <w:rPr>
          <w:sz w:val="24"/>
          <w:szCs w:val="24"/>
        </w:rPr>
        <w:fldChar w:fldCharType="begin"/>
      </w:r>
      <w:r>
        <w:rPr>
          <w:sz w:val="24"/>
          <w:szCs w:val="24"/>
        </w:rPr>
        <w:instrText xml:space="preserve"> PAGEREF _Toc127188301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"_Toc127188302" </w:instrText>
      </w:r>
      <w:r>
        <w:fldChar w:fldCharType="separate"/>
      </w:r>
      <w:r>
        <w:rPr>
          <w:rStyle w:val="19"/>
          <w:rFonts w:cs="Times New Roman"/>
          <w:sz w:val="24"/>
          <w:szCs w:val="24"/>
        </w:rPr>
        <w:t>3.2夯实应急减排措施</w:t>
      </w:r>
      <w:r>
        <w:rPr>
          <w:sz w:val="24"/>
          <w:szCs w:val="24"/>
        </w:rPr>
        <w:tab/>
      </w:r>
      <w:r>
        <w:rPr>
          <w:sz w:val="24"/>
          <w:szCs w:val="24"/>
        </w:rPr>
        <w:fldChar w:fldCharType="begin"/>
      </w:r>
      <w:r>
        <w:rPr>
          <w:sz w:val="24"/>
          <w:szCs w:val="24"/>
        </w:rPr>
        <w:instrText xml:space="preserve"> PAGEREF _Toc127188302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"_Toc127188303" </w:instrText>
      </w:r>
      <w:r>
        <w:fldChar w:fldCharType="separate"/>
      </w:r>
      <w:r>
        <w:rPr>
          <w:rStyle w:val="19"/>
          <w:sz w:val="24"/>
          <w:szCs w:val="24"/>
        </w:rPr>
        <w:t>4 监测与预警</w:t>
      </w:r>
      <w:r>
        <w:rPr>
          <w:sz w:val="24"/>
          <w:szCs w:val="24"/>
        </w:rPr>
        <w:tab/>
      </w:r>
      <w:r>
        <w:rPr>
          <w:sz w:val="24"/>
          <w:szCs w:val="24"/>
        </w:rPr>
        <w:fldChar w:fldCharType="begin"/>
      </w:r>
      <w:r>
        <w:rPr>
          <w:sz w:val="24"/>
          <w:szCs w:val="24"/>
        </w:rPr>
        <w:instrText xml:space="preserve"> PAGEREF _Toc127188303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"_Toc127188304" </w:instrText>
      </w:r>
      <w:r>
        <w:fldChar w:fldCharType="separate"/>
      </w:r>
      <w:r>
        <w:rPr>
          <w:rStyle w:val="19"/>
          <w:rFonts w:cs="Times New Roman"/>
          <w:sz w:val="24"/>
          <w:szCs w:val="24"/>
        </w:rPr>
        <w:t>4.1 监测</w:t>
      </w:r>
      <w:r>
        <w:rPr>
          <w:sz w:val="24"/>
          <w:szCs w:val="24"/>
        </w:rPr>
        <w:tab/>
      </w:r>
      <w:r>
        <w:rPr>
          <w:sz w:val="24"/>
          <w:szCs w:val="24"/>
        </w:rPr>
        <w:fldChar w:fldCharType="begin"/>
      </w:r>
      <w:r>
        <w:rPr>
          <w:sz w:val="24"/>
          <w:szCs w:val="24"/>
        </w:rPr>
        <w:instrText xml:space="preserve"> PAGEREF _Toc127188304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"_Toc127188305" </w:instrText>
      </w:r>
      <w:r>
        <w:fldChar w:fldCharType="separate"/>
      </w:r>
      <w:r>
        <w:rPr>
          <w:rStyle w:val="19"/>
          <w:rFonts w:cs="Times New Roman"/>
          <w:sz w:val="24"/>
          <w:szCs w:val="24"/>
        </w:rPr>
        <w:t>4.1.1监测与预报</w:t>
      </w:r>
      <w:r>
        <w:rPr>
          <w:sz w:val="24"/>
          <w:szCs w:val="24"/>
        </w:rPr>
        <w:tab/>
      </w:r>
      <w:r>
        <w:rPr>
          <w:sz w:val="24"/>
          <w:szCs w:val="24"/>
        </w:rPr>
        <w:fldChar w:fldCharType="begin"/>
      </w:r>
      <w:r>
        <w:rPr>
          <w:sz w:val="24"/>
          <w:szCs w:val="24"/>
        </w:rPr>
        <w:instrText xml:space="preserve"> PAGEREF _Toc127188305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"_Toc127188306" </w:instrText>
      </w:r>
      <w:r>
        <w:fldChar w:fldCharType="separate"/>
      </w:r>
      <w:r>
        <w:rPr>
          <w:rStyle w:val="19"/>
          <w:rFonts w:cs="Times New Roman"/>
          <w:sz w:val="24"/>
          <w:szCs w:val="24"/>
        </w:rPr>
        <w:t>4.1.2会商</w:t>
      </w:r>
      <w:r>
        <w:rPr>
          <w:sz w:val="24"/>
          <w:szCs w:val="24"/>
        </w:rPr>
        <w:tab/>
      </w:r>
      <w:r>
        <w:rPr>
          <w:sz w:val="24"/>
          <w:szCs w:val="24"/>
        </w:rPr>
        <w:fldChar w:fldCharType="begin"/>
      </w:r>
      <w:r>
        <w:rPr>
          <w:sz w:val="24"/>
          <w:szCs w:val="24"/>
        </w:rPr>
        <w:instrText xml:space="preserve"> PAGEREF _Toc127188306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"_Toc127188307" </w:instrText>
      </w:r>
      <w:r>
        <w:fldChar w:fldCharType="separate"/>
      </w:r>
      <w:r>
        <w:rPr>
          <w:rStyle w:val="19"/>
          <w:rFonts w:cs="Times New Roman"/>
          <w:sz w:val="24"/>
          <w:szCs w:val="24"/>
        </w:rPr>
        <w:t>4.2 预警分级</w:t>
      </w:r>
      <w:r>
        <w:rPr>
          <w:sz w:val="24"/>
          <w:szCs w:val="24"/>
        </w:rPr>
        <w:tab/>
      </w:r>
      <w:r>
        <w:rPr>
          <w:sz w:val="24"/>
          <w:szCs w:val="24"/>
        </w:rPr>
        <w:fldChar w:fldCharType="begin"/>
      </w:r>
      <w:r>
        <w:rPr>
          <w:sz w:val="24"/>
          <w:szCs w:val="24"/>
        </w:rPr>
        <w:instrText xml:space="preserve"> PAGEREF _Toc127188307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"_Toc127188308" </w:instrText>
      </w:r>
      <w:r>
        <w:fldChar w:fldCharType="separate"/>
      </w:r>
      <w:r>
        <w:rPr>
          <w:rStyle w:val="19"/>
          <w:rFonts w:cs="Times New Roman"/>
          <w:sz w:val="24"/>
          <w:szCs w:val="24"/>
        </w:rPr>
        <w:t>4.3预警会商</w:t>
      </w:r>
      <w:r>
        <w:rPr>
          <w:sz w:val="24"/>
          <w:szCs w:val="24"/>
        </w:rPr>
        <w:tab/>
      </w:r>
      <w:r>
        <w:rPr>
          <w:sz w:val="24"/>
          <w:szCs w:val="24"/>
        </w:rPr>
        <w:fldChar w:fldCharType="begin"/>
      </w:r>
      <w:r>
        <w:rPr>
          <w:sz w:val="24"/>
          <w:szCs w:val="24"/>
        </w:rPr>
        <w:instrText xml:space="preserve"> PAGEREF _Toc127188308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"_Toc127188309" </w:instrText>
      </w:r>
      <w:r>
        <w:fldChar w:fldCharType="separate"/>
      </w:r>
      <w:r>
        <w:rPr>
          <w:rStyle w:val="19"/>
          <w:rFonts w:cs="Times New Roman"/>
          <w:sz w:val="24"/>
          <w:szCs w:val="24"/>
        </w:rPr>
        <w:t>4.4预警发布</w:t>
      </w:r>
      <w:r>
        <w:rPr>
          <w:sz w:val="24"/>
          <w:szCs w:val="24"/>
        </w:rPr>
        <w:tab/>
      </w:r>
      <w:r>
        <w:rPr>
          <w:sz w:val="24"/>
          <w:szCs w:val="24"/>
        </w:rPr>
        <w:fldChar w:fldCharType="begin"/>
      </w:r>
      <w:r>
        <w:rPr>
          <w:sz w:val="24"/>
          <w:szCs w:val="24"/>
        </w:rPr>
        <w:instrText xml:space="preserve"> PAGEREF _Toc127188309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"_Toc127188310" </w:instrText>
      </w:r>
      <w:r>
        <w:fldChar w:fldCharType="separate"/>
      </w:r>
      <w:r>
        <w:rPr>
          <w:rStyle w:val="19"/>
          <w:rFonts w:cs="Times New Roman"/>
          <w:sz w:val="24"/>
          <w:szCs w:val="24"/>
        </w:rPr>
        <w:t>4.4.1发布时间</w:t>
      </w:r>
      <w:r>
        <w:rPr>
          <w:sz w:val="24"/>
          <w:szCs w:val="24"/>
        </w:rPr>
        <w:tab/>
      </w:r>
      <w:r>
        <w:rPr>
          <w:sz w:val="24"/>
          <w:szCs w:val="24"/>
        </w:rPr>
        <w:fldChar w:fldCharType="begin"/>
      </w:r>
      <w:r>
        <w:rPr>
          <w:sz w:val="24"/>
          <w:szCs w:val="24"/>
        </w:rPr>
        <w:instrText xml:space="preserve"> PAGEREF _Toc127188310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"_Toc127188311" </w:instrText>
      </w:r>
      <w:r>
        <w:fldChar w:fldCharType="separate"/>
      </w:r>
      <w:r>
        <w:rPr>
          <w:rStyle w:val="19"/>
          <w:rFonts w:cs="Times New Roman"/>
          <w:sz w:val="24"/>
          <w:szCs w:val="24"/>
        </w:rPr>
        <w:t>4.4.2发布程序</w:t>
      </w:r>
      <w:r>
        <w:rPr>
          <w:sz w:val="24"/>
          <w:szCs w:val="24"/>
        </w:rPr>
        <w:tab/>
      </w:r>
      <w:r>
        <w:rPr>
          <w:sz w:val="24"/>
          <w:szCs w:val="24"/>
        </w:rPr>
        <w:fldChar w:fldCharType="begin"/>
      </w:r>
      <w:r>
        <w:rPr>
          <w:sz w:val="24"/>
          <w:szCs w:val="24"/>
        </w:rPr>
        <w:instrText xml:space="preserve"> PAGEREF _Toc127188311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"_Toc127188312" </w:instrText>
      </w:r>
      <w:r>
        <w:fldChar w:fldCharType="separate"/>
      </w:r>
      <w:r>
        <w:rPr>
          <w:rStyle w:val="19"/>
          <w:rFonts w:cs="Times New Roman"/>
          <w:sz w:val="24"/>
          <w:szCs w:val="24"/>
        </w:rPr>
        <w:t>4.4.3发布方式</w:t>
      </w:r>
      <w:r>
        <w:rPr>
          <w:sz w:val="24"/>
          <w:szCs w:val="24"/>
        </w:rPr>
        <w:tab/>
      </w:r>
      <w:r>
        <w:rPr>
          <w:sz w:val="24"/>
          <w:szCs w:val="24"/>
        </w:rPr>
        <w:fldChar w:fldCharType="begin"/>
      </w:r>
      <w:r>
        <w:rPr>
          <w:sz w:val="24"/>
          <w:szCs w:val="24"/>
        </w:rPr>
        <w:instrText xml:space="preserve"> PAGEREF _Toc127188312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"_Toc127188313" </w:instrText>
      </w:r>
      <w:r>
        <w:fldChar w:fldCharType="separate"/>
      </w:r>
      <w:r>
        <w:rPr>
          <w:rStyle w:val="19"/>
          <w:rFonts w:cs="Times New Roman"/>
          <w:sz w:val="24"/>
          <w:szCs w:val="24"/>
        </w:rPr>
        <w:t>4.4.4信息发布对象及要求</w:t>
      </w:r>
      <w:r>
        <w:rPr>
          <w:sz w:val="24"/>
          <w:szCs w:val="24"/>
        </w:rPr>
        <w:tab/>
      </w:r>
      <w:r>
        <w:rPr>
          <w:sz w:val="24"/>
          <w:szCs w:val="24"/>
        </w:rPr>
        <w:fldChar w:fldCharType="begin"/>
      </w:r>
      <w:r>
        <w:rPr>
          <w:sz w:val="24"/>
          <w:szCs w:val="24"/>
        </w:rPr>
        <w:instrText xml:space="preserve"> PAGEREF _Toc127188313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"_Toc127188314" </w:instrText>
      </w:r>
      <w:r>
        <w:fldChar w:fldCharType="separate"/>
      </w:r>
      <w:r>
        <w:rPr>
          <w:rStyle w:val="19"/>
          <w:rFonts w:cs="Times New Roman"/>
          <w:sz w:val="24"/>
          <w:szCs w:val="24"/>
        </w:rPr>
        <w:t>4.5预警变更</w:t>
      </w:r>
      <w:r>
        <w:rPr>
          <w:sz w:val="24"/>
          <w:szCs w:val="24"/>
        </w:rPr>
        <w:tab/>
      </w:r>
      <w:r>
        <w:rPr>
          <w:sz w:val="24"/>
          <w:szCs w:val="24"/>
        </w:rPr>
        <w:fldChar w:fldCharType="begin"/>
      </w:r>
      <w:r>
        <w:rPr>
          <w:sz w:val="24"/>
          <w:szCs w:val="24"/>
        </w:rPr>
        <w:instrText xml:space="preserve"> PAGEREF _Toc127188314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"_Toc127188315" </w:instrText>
      </w:r>
      <w:r>
        <w:fldChar w:fldCharType="separate"/>
      </w:r>
      <w:r>
        <w:rPr>
          <w:rStyle w:val="19"/>
          <w:rFonts w:cs="Times New Roman"/>
          <w:sz w:val="24"/>
          <w:szCs w:val="24"/>
        </w:rPr>
        <w:t>4.6预警解除</w:t>
      </w:r>
      <w:r>
        <w:rPr>
          <w:sz w:val="24"/>
          <w:szCs w:val="24"/>
        </w:rPr>
        <w:tab/>
      </w:r>
      <w:r>
        <w:rPr>
          <w:sz w:val="24"/>
          <w:szCs w:val="24"/>
        </w:rPr>
        <w:fldChar w:fldCharType="begin"/>
      </w:r>
      <w:r>
        <w:rPr>
          <w:sz w:val="24"/>
          <w:szCs w:val="24"/>
        </w:rPr>
        <w:instrText xml:space="preserve"> PAGEREF _Toc127188315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"_Toc127188316" </w:instrText>
      </w:r>
      <w:r>
        <w:fldChar w:fldCharType="separate"/>
      </w:r>
      <w:r>
        <w:rPr>
          <w:rStyle w:val="19"/>
          <w:rFonts w:cs="Times New Roman"/>
          <w:sz w:val="24"/>
          <w:szCs w:val="24"/>
        </w:rPr>
        <w:t>4.7 预警措施</w:t>
      </w:r>
      <w:r>
        <w:rPr>
          <w:sz w:val="24"/>
          <w:szCs w:val="24"/>
        </w:rPr>
        <w:tab/>
      </w:r>
      <w:r>
        <w:rPr>
          <w:sz w:val="24"/>
          <w:szCs w:val="24"/>
        </w:rPr>
        <w:fldChar w:fldCharType="begin"/>
      </w:r>
      <w:r>
        <w:rPr>
          <w:sz w:val="24"/>
          <w:szCs w:val="24"/>
        </w:rPr>
        <w:instrText xml:space="preserve"> PAGEREF _Toc127188316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"_Toc127188317" </w:instrText>
      </w:r>
      <w:r>
        <w:fldChar w:fldCharType="separate"/>
      </w:r>
      <w:r>
        <w:rPr>
          <w:rStyle w:val="19"/>
          <w:rFonts w:cs="Times New Roman"/>
          <w:sz w:val="24"/>
          <w:szCs w:val="24"/>
        </w:rPr>
        <w:t>4.8 区域应急联动</w:t>
      </w:r>
      <w:r>
        <w:rPr>
          <w:sz w:val="24"/>
          <w:szCs w:val="24"/>
        </w:rPr>
        <w:tab/>
      </w:r>
      <w:r>
        <w:rPr>
          <w:sz w:val="24"/>
          <w:szCs w:val="24"/>
        </w:rPr>
        <w:fldChar w:fldCharType="begin"/>
      </w:r>
      <w:r>
        <w:rPr>
          <w:sz w:val="24"/>
          <w:szCs w:val="24"/>
        </w:rPr>
        <w:instrText xml:space="preserve"> PAGEREF _Toc127188317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"_Toc127188318" </w:instrText>
      </w:r>
      <w:r>
        <w:fldChar w:fldCharType="separate"/>
      </w:r>
      <w:r>
        <w:rPr>
          <w:rStyle w:val="19"/>
          <w:sz w:val="24"/>
          <w:szCs w:val="24"/>
        </w:rPr>
        <w:t>5 应急响应</w:t>
      </w:r>
      <w:r>
        <w:rPr>
          <w:sz w:val="24"/>
          <w:szCs w:val="24"/>
        </w:rPr>
        <w:tab/>
      </w:r>
      <w:r>
        <w:rPr>
          <w:sz w:val="24"/>
          <w:szCs w:val="24"/>
        </w:rPr>
        <w:fldChar w:fldCharType="begin"/>
      </w:r>
      <w:r>
        <w:rPr>
          <w:sz w:val="24"/>
          <w:szCs w:val="24"/>
        </w:rPr>
        <w:instrText xml:space="preserve"> PAGEREF _Toc127188318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"_Toc127188319" </w:instrText>
      </w:r>
      <w:r>
        <w:fldChar w:fldCharType="separate"/>
      </w:r>
      <w:r>
        <w:rPr>
          <w:rStyle w:val="19"/>
          <w:rFonts w:cs="Times New Roman"/>
          <w:sz w:val="24"/>
          <w:szCs w:val="24"/>
        </w:rPr>
        <w:t>5.1响应分级和启动</w:t>
      </w:r>
      <w:r>
        <w:rPr>
          <w:sz w:val="24"/>
          <w:szCs w:val="24"/>
        </w:rPr>
        <w:tab/>
      </w:r>
      <w:r>
        <w:rPr>
          <w:sz w:val="24"/>
          <w:szCs w:val="24"/>
        </w:rPr>
        <w:fldChar w:fldCharType="begin"/>
      </w:r>
      <w:r>
        <w:rPr>
          <w:sz w:val="24"/>
          <w:szCs w:val="24"/>
        </w:rPr>
        <w:instrText xml:space="preserve"> PAGEREF _Toc127188319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"_Toc127188320" </w:instrText>
      </w:r>
      <w:r>
        <w:fldChar w:fldCharType="separate"/>
      </w:r>
      <w:r>
        <w:rPr>
          <w:rStyle w:val="19"/>
          <w:rFonts w:cs="Times New Roman"/>
          <w:sz w:val="24"/>
          <w:szCs w:val="24"/>
        </w:rPr>
        <w:t>5.1.1响应分级</w:t>
      </w:r>
      <w:r>
        <w:rPr>
          <w:sz w:val="24"/>
          <w:szCs w:val="24"/>
        </w:rPr>
        <w:tab/>
      </w:r>
      <w:r>
        <w:rPr>
          <w:sz w:val="24"/>
          <w:szCs w:val="24"/>
        </w:rPr>
        <w:fldChar w:fldCharType="begin"/>
      </w:r>
      <w:r>
        <w:rPr>
          <w:sz w:val="24"/>
          <w:szCs w:val="24"/>
        </w:rPr>
        <w:instrText xml:space="preserve"> PAGEREF _Toc127188320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"_Toc127188321" </w:instrText>
      </w:r>
      <w:r>
        <w:fldChar w:fldCharType="separate"/>
      </w:r>
      <w:r>
        <w:rPr>
          <w:rStyle w:val="19"/>
          <w:rFonts w:cs="Times New Roman"/>
          <w:sz w:val="24"/>
          <w:szCs w:val="24"/>
        </w:rPr>
        <w:t>5.1.2响应启动</w:t>
      </w:r>
      <w:r>
        <w:rPr>
          <w:sz w:val="24"/>
          <w:szCs w:val="24"/>
        </w:rPr>
        <w:tab/>
      </w:r>
      <w:r>
        <w:rPr>
          <w:sz w:val="24"/>
          <w:szCs w:val="24"/>
        </w:rPr>
        <w:fldChar w:fldCharType="begin"/>
      </w:r>
      <w:r>
        <w:rPr>
          <w:sz w:val="24"/>
          <w:szCs w:val="24"/>
        </w:rPr>
        <w:instrText xml:space="preserve"> PAGEREF _Toc127188321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"_Toc127188322" </w:instrText>
      </w:r>
      <w:r>
        <w:fldChar w:fldCharType="separate"/>
      </w:r>
      <w:r>
        <w:rPr>
          <w:rStyle w:val="19"/>
          <w:rFonts w:cs="Times New Roman"/>
          <w:sz w:val="24"/>
          <w:szCs w:val="24"/>
        </w:rPr>
        <w:t>5.2 响应指挥与组织实施</w:t>
      </w:r>
      <w:r>
        <w:rPr>
          <w:sz w:val="24"/>
          <w:szCs w:val="24"/>
        </w:rPr>
        <w:tab/>
      </w:r>
      <w:r>
        <w:rPr>
          <w:sz w:val="24"/>
          <w:szCs w:val="24"/>
        </w:rPr>
        <w:fldChar w:fldCharType="begin"/>
      </w:r>
      <w:r>
        <w:rPr>
          <w:sz w:val="24"/>
          <w:szCs w:val="24"/>
        </w:rPr>
        <w:instrText xml:space="preserve"> PAGEREF _Toc127188322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"_Toc127188323" </w:instrText>
      </w:r>
      <w:r>
        <w:fldChar w:fldCharType="separate"/>
      </w:r>
      <w:r>
        <w:rPr>
          <w:rStyle w:val="19"/>
          <w:rFonts w:cs="Times New Roman"/>
          <w:sz w:val="24"/>
          <w:szCs w:val="24"/>
        </w:rPr>
        <w:t>5.3 应急监测</w:t>
      </w:r>
      <w:r>
        <w:rPr>
          <w:sz w:val="24"/>
          <w:szCs w:val="24"/>
        </w:rPr>
        <w:tab/>
      </w:r>
      <w:r>
        <w:rPr>
          <w:sz w:val="24"/>
          <w:szCs w:val="24"/>
        </w:rPr>
        <w:fldChar w:fldCharType="begin"/>
      </w:r>
      <w:r>
        <w:rPr>
          <w:sz w:val="24"/>
          <w:szCs w:val="24"/>
        </w:rPr>
        <w:instrText xml:space="preserve"> PAGEREF _Toc127188323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"_Toc127188324" </w:instrText>
      </w:r>
      <w:r>
        <w:fldChar w:fldCharType="separate"/>
      </w:r>
      <w:r>
        <w:rPr>
          <w:rStyle w:val="19"/>
          <w:rFonts w:cs="Times New Roman"/>
          <w:sz w:val="24"/>
          <w:szCs w:val="24"/>
        </w:rPr>
        <w:t>5.4 城市响应措施</w:t>
      </w:r>
      <w:r>
        <w:rPr>
          <w:sz w:val="24"/>
          <w:szCs w:val="24"/>
        </w:rPr>
        <w:tab/>
      </w:r>
      <w:r>
        <w:rPr>
          <w:sz w:val="24"/>
          <w:szCs w:val="24"/>
        </w:rPr>
        <w:fldChar w:fldCharType="begin"/>
      </w:r>
      <w:r>
        <w:rPr>
          <w:sz w:val="24"/>
          <w:szCs w:val="24"/>
        </w:rPr>
        <w:instrText xml:space="preserve"> PAGEREF _Toc127188324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"_Toc127188325" </w:instrText>
      </w:r>
      <w:r>
        <w:fldChar w:fldCharType="separate"/>
      </w:r>
      <w:r>
        <w:rPr>
          <w:rStyle w:val="19"/>
          <w:rFonts w:cs="Times New Roman"/>
          <w:sz w:val="24"/>
          <w:szCs w:val="24"/>
        </w:rPr>
        <w:t>5.4.1 III级响应措施</w:t>
      </w:r>
      <w:r>
        <w:rPr>
          <w:sz w:val="24"/>
          <w:szCs w:val="24"/>
        </w:rPr>
        <w:tab/>
      </w:r>
      <w:r>
        <w:rPr>
          <w:sz w:val="24"/>
          <w:szCs w:val="24"/>
        </w:rPr>
        <w:fldChar w:fldCharType="begin"/>
      </w:r>
      <w:r>
        <w:rPr>
          <w:sz w:val="24"/>
          <w:szCs w:val="24"/>
        </w:rPr>
        <w:instrText xml:space="preserve"> PAGEREF _Toc127188325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"_Toc127188326" </w:instrText>
      </w:r>
      <w:r>
        <w:fldChar w:fldCharType="separate"/>
      </w:r>
      <w:r>
        <w:rPr>
          <w:rStyle w:val="19"/>
          <w:rFonts w:cs="Times New Roman"/>
          <w:sz w:val="24"/>
          <w:szCs w:val="24"/>
        </w:rPr>
        <w:t>5.4.2 II级响应措施</w:t>
      </w:r>
      <w:r>
        <w:rPr>
          <w:sz w:val="24"/>
          <w:szCs w:val="24"/>
        </w:rPr>
        <w:tab/>
      </w:r>
      <w:r>
        <w:rPr>
          <w:sz w:val="24"/>
          <w:szCs w:val="24"/>
        </w:rPr>
        <w:fldChar w:fldCharType="begin"/>
      </w:r>
      <w:r>
        <w:rPr>
          <w:sz w:val="24"/>
          <w:szCs w:val="24"/>
        </w:rPr>
        <w:instrText xml:space="preserve"> PAGEREF _Toc127188326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"_Toc127188327" </w:instrText>
      </w:r>
      <w:r>
        <w:fldChar w:fldCharType="separate"/>
      </w:r>
      <w:r>
        <w:rPr>
          <w:rStyle w:val="19"/>
          <w:rFonts w:cs="Times New Roman"/>
          <w:sz w:val="24"/>
          <w:szCs w:val="24"/>
        </w:rPr>
        <w:t>5.4.3 I级响应措施</w:t>
      </w:r>
      <w:r>
        <w:rPr>
          <w:sz w:val="24"/>
          <w:szCs w:val="24"/>
        </w:rPr>
        <w:tab/>
      </w:r>
      <w:r>
        <w:rPr>
          <w:sz w:val="24"/>
          <w:szCs w:val="24"/>
        </w:rPr>
        <w:fldChar w:fldCharType="begin"/>
      </w:r>
      <w:r>
        <w:rPr>
          <w:sz w:val="24"/>
          <w:szCs w:val="24"/>
        </w:rPr>
        <w:instrText xml:space="preserve"> PAGEREF _Toc127188327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"_Toc127188328" </w:instrText>
      </w:r>
      <w:r>
        <w:fldChar w:fldCharType="separate"/>
      </w:r>
      <w:r>
        <w:rPr>
          <w:rStyle w:val="19"/>
          <w:rFonts w:cs="Times New Roman"/>
          <w:sz w:val="24"/>
          <w:szCs w:val="24"/>
        </w:rPr>
        <w:t>5.4.4补充说明</w:t>
      </w:r>
      <w:r>
        <w:rPr>
          <w:sz w:val="24"/>
          <w:szCs w:val="24"/>
        </w:rPr>
        <w:tab/>
      </w:r>
      <w:r>
        <w:rPr>
          <w:sz w:val="24"/>
          <w:szCs w:val="24"/>
        </w:rPr>
        <w:fldChar w:fldCharType="begin"/>
      </w:r>
      <w:r>
        <w:rPr>
          <w:sz w:val="24"/>
          <w:szCs w:val="24"/>
        </w:rPr>
        <w:instrText xml:space="preserve"> PAGEREF _Toc127188328 \h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"_Toc127188329" </w:instrText>
      </w:r>
      <w:r>
        <w:fldChar w:fldCharType="separate"/>
      </w:r>
      <w:r>
        <w:rPr>
          <w:rStyle w:val="19"/>
          <w:rFonts w:cs="Times New Roman"/>
          <w:sz w:val="24"/>
          <w:szCs w:val="24"/>
        </w:rPr>
        <w:t>5.5县级响应措施</w:t>
      </w:r>
      <w:r>
        <w:rPr>
          <w:sz w:val="24"/>
          <w:szCs w:val="24"/>
        </w:rPr>
        <w:tab/>
      </w:r>
      <w:r>
        <w:rPr>
          <w:sz w:val="24"/>
          <w:szCs w:val="24"/>
        </w:rPr>
        <w:fldChar w:fldCharType="begin"/>
      </w:r>
      <w:r>
        <w:rPr>
          <w:sz w:val="24"/>
          <w:szCs w:val="24"/>
        </w:rPr>
        <w:instrText xml:space="preserve"> PAGEREF _Toc127188329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"_Toc127188330" </w:instrText>
      </w:r>
      <w:r>
        <w:fldChar w:fldCharType="separate"/>
      </w:r>
      <w:r>
        <w:rPr>
          <w:rStyle w:val="19"/>
          <w:rFonts w:cs="Times New Roman"/>
          <w:sz w:val="24"/>
          <w:szCs w:val="24"/>
        </w:rPr>
        <w:t>5.5.1联防联动</w:t>
      </w:r>
      <w:r>
        <w:rPr>
          <w:sz w:val="24"/>
          <w:szCs w:val="24"/>
        </w:rPr>
        <w:tab/>
      </w:r>
      <w:r>
        <w:rPr>
          <w:sz w:val="24"/>
          <w:szCs w:val="24"/>
        </w:rPr>
        <w:fldChar w:fldCharType="begin"/>
      </w:r>
      <w:r>
        <w:rPr>
          <w:sz w:val="24"/>
          <w:szCs w:val="24"/>
        </w:rPr>
        <w:instrText xml:space="preserve"> PAGEREF _Toc127188330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8"/>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"_Toc127188331" </w:instrText>
      </w:r>
      <w:r>
        <w:fldChar w:fldCharType="separate"/>
      </w:r>
      <w:r>
        <w:rPr>
          <w:rStyle w:val="19"/>
          <w:rFonts w:cs="Times New Roman"/>
          <w:sz w:val="24"/>
          <w:szCs w:val="24"/>
        </w:rPr>
        <w:t>5.5.2监督检查</w:t>
      </w:r>
      <w:r>
        <w:rPr>
          <w:sz w:val="24"/>
          <w:szCs w:val="24"/>
        </w:rPr>
        <w:tab/>
      </w:r>
      <w:r>
        <w:rPr>
          <w:sz w:val="24"/>
          <w:szCs w:val="24"/>
        </w:rPr>
        <w:fldChar w:fldCharType="begin"/>
      </w:r>
      <w:r>
        <w:rPr>
          <w:sz w:val="24"/>
          <w:szCs w:val="24"/>
        </w:rPr>
        <w:instrText xml:space="preserve"> PAGEREF _Toc127188331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"_Toc127188332" </w:instrText>
      </w:r>
      <w:r>
        <w:fldChar w:fldCharType="separate"/>
      </w:r>
      <w:r>
        <w:rPr>
          <w:rStyle w:val="19"/>
          <w:rFonts w:cs="Times New Roman"/>
          <w:sz w:val="24"/>
          <w:szCs w:val="24"/>
        </w:rPr>
        <w:t>5.6信息报送</w:t>
      </w:r>
      <w:r>
        <w:rPr>
          <w:sz w:val="24"/>
          <w:szCs w:val="24"/>
        </w:rPr>
        <w:tab/>
      </w:r>
      <w:r>
        <w:rPr>
          <w:sz w:val="24"/>
          <w:szCs w:val="24"/>
        </w:rPr>
        <w:fldChar w:fldCharType="begin"/>
      </w:r>
      <w:r>
        <w:rPr>
          <w:sz w:val="24"/>
          <w:szCs w:val="24"/>
        </w:rPr>
        <w:instrText xml:space="preserve"> PAGEREF _Toc127188332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"_Toc127188333" </w:instrText>
      </w:r>
      <w:r>
        <w:fldChar w:fldCharType="separate"/>
      </w:r>
      <w:r>
        <w:rPr>
          <w:rStyle w:val="19"/>
          <w:rFonts w:cs="Times New Roman"/>
          <w:sz w:val="24"/>
          <w:szCs w:val="24"/>
        </w:rPr>
        <w:t>5.7 信息公开</w:t>
      </w:r>
      <w:r>
        <w:rPr>
          <w:sz w:val="24"/>
          <w:szCs w:val="24"/>
        </w:rPr>
        <w:tab/>
      </w:r>
      <w:r>
        <w:rPr>
          <w:sz w:val="24"/>
          <w:szCs w:val="24"/>
        </w:rPr>
        <w:fldChar w:fldCharType="begin"/>
      </w:r>
      <w:r>
        <w:rPr>
          <w:sz w:val="24"/>
          <w:szCs w:val="24"/>
        </w:rPr>
        <w:instrText xml:space="preserve"> PAGEREF _Toc127188333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"_Toc127188334" </w:instrText>
      </w:r>
      <w:r>
        <w:fldChar w:fldCharType="separate"/>
      </w:r>
      <w:r>
        <w:rPr>
          <w:rStyle w:val="19"/>
          <w:rFonts w:cs="Times New Roman"/>
          <w:sz w:val="24"/>
          <w:szCs w:val="24"/>
        </w:rPr>
        <w:t>5.8 应急措施的执行与监督</w:t>
      </w:r>
      <w:r>
        <w:rPr>
          <w:sz w:val="24"/>
          <w:szCs w:val="24"/>
        </w:rPr>
        <w:tab/>
      </w:r>
      <w:r>
        <w:rPr>
          <w:sz w:val="24"/>
          <w:szCs w:val="24"/>
        </w:rPr>
        <w:fldChar w:fldCharType="begin"/>
      </w:r>
      <w:r>
        <w:rPr>
          <w:sz w:val="24"/>
          <w:szCs w:val="24"/>
        </w:rPr>
        <w:instrText xml:space="preserve"> PAGEREF _Toc127188334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"_Toc127188335" </w:instrText>
      </w:r>
      <w:r>
        <w:fldChar w:fldCharType="separate"/>
      </w:r>
      <w:r>
        <w:rPr>
          <w:rStyle w:val="19"/>
          <w:rFonts w:cs="Times New Roman"/>
          <w:sz w:val="24"/>
          <w:szCs w:val="24"/>
        </w:rPr>
        <w:t>5.9 应急终止</w:t>
      </w:r>
      <w:r>
        <w:rPr>
          <w:sz w:val="24"/>
          <w:szCs w:val="24"/>
        </w:rPr>
        <w:tab/>
      </w:r>
      <w:r>
        <w:rPr>
          <w:sz w:val="24"/>
          <w:szCs w:val="24"/>
        </w:rPr>
        <w:fldChar w:fldCharType="begin"/>
      </w:r>
      <w:r>
        <w:rPr>
          <w:sz w:val="24"/>
          <w:szCs w:val="24"/>
        </w:rPr>
        <w:instrText xml:space="preserve"> PAGEREF _Toc127188335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"_Toc127188336" </w:instrText>
      </w:r>
      <w:r>
        <w:fldChar w:fldCharType="separate"/>
      </w:r>
      <w:r>
        <w:rPr>
          <w:rStyle w:val="19"/>
          <w:sz w:val="24"/>
          <w:szCs w:val="24"/>
        </w:rPr>
        <w:t>6 总结评估</w:t>
      </w:r>
      <w:r>
        <w:rPr>
          <w:sz w:val="24"/>
          <w:szCs w:val="24"/>
        </w:rPr>
        <w:tab/>
      </w:r>
      <w:r>
        <w:rPr>
          <w:sz w:val="24"/>
          <w:szCs w:val="24"/>
        </w:rPr>
        <w:fldChar w:fldCharType="begin"/>
      </w:r>
      <w:r>
        <w:rPr>
          <w:sz w:val="24"/>
          <w:szCs w:val="24"/>
        </w:rPr>
        <w:instrText xml:space="preserve"> PAGEREF _Toc127188336 \h </w:instrText>
      </w:r>
      <w:r>
        <w:rPr>
          <w:sz w:val="24"/>
          <w:szCs w:val="24"/>
        </w:rPr>
        <w:fldChar w:fldCharType="separate"/>
      </w:r>
      <w:r>
        <w:rPr>
          <w:sz w:val="24"/>
          <w:szCs w:val="24"/>
        </w:rPr>
        <w:t>41</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"_Toc127188337" </w:instrText>
      </w:r>
      <w:r>
        <w:fldChar w:fldCharType="separate"/>
      </w:r>
      <w:r>
        <w:rPr>
          <w:rStyle w:val="19"/>
          <w:sz w:val="24"/>
          <w:szCs w:val="24"/>
        </w:rPr>
        <w:t>7 应急保障</w:t>
      </w:r>
      <w:r>
        <w:rPr>
          <w:sz w:val="24"/>
          <w:szCs w:val="24"/>
        </w:rPr>
        <w:tab/>
      </w:r>
      <w:r>
        <w:rPr>
          <w:sz w:val="24"/>
          <w:szCs w:val="24"/>
        </w:rPr>
        <w:fldChar w:fldCharType="begin"/>
      </w:r>
      <w:r>
        <w:rPr>
          <w:sz w:val="24"/>
          <w:szCs w:val="24"/>
        </w:rPr>
        <w:instrText xml:space="preserve"> PAGEREF _Toc127188337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"_Toc127188338" </w:instrText>
      </w:r>
      <w:r>
        <w:fldChar w:fldCharType="separate"/>
      </w:r>
      <w:r>
        <w:rPr>
          <w:rStyle w:val="19"/>
          <w:rFonts w:cs="Times New Roman"/>
          <w:sz w:val="24"/>
          <w:szCs w:val="24"/>
        </w:rPr>
        <w:t>7.1 人力资源保障</w:t>
      </w:r>
      <w:r>
        <w:rPr>
          <w:sz w:val="24"/>
          <w:szCs w:val="24"/>
        </w:rPr>
        <w:tab/>
      </w:r>
      <w:r>
        <w:rPr>
          <w:sz w:val="24"/>
          <w:szCs w:val="24"/>
        </w:rPr>
        <w:fldChar w:fldCharType="begin"/>
      </w:r>
      <w:r>
        <w:rPr>
          <w:sz w:val="24"/>
          <w:szCs w:val="24"/>
        </w:rPr>
        <w:instrText xml:space="preserve"> PAGEREF _Toc127188338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"_Toc127188339" </w:instrText>
      </w:r>
      <w:r>
        <w:fldChar w:fldCharType="separate"/>
      </w:r>
      <w:r>
        <w:rPr>
          <w:rStyle w:val="19"/>
          <w:rFonts w:cs="Times New Roman"/>
          <w:sz w:val="24"/>
          <w:szCs w:val="24"/>
        </w:rPr>
        <w:t>7.2资金保障</w:t>
      </w:r>
      <w:r>
        <w:rPr>
          <w:sz w:val="24"/>
          <w:szCs w:val="24"/>
        </w:rPr>
        <w:tab/>
      </w:r>
      <w:r>
        <w:rPr>
          <w:sz w:val="24"/>
          <w:szCs w:val="24"/>
        </w:rPr>
        <w:fldChar w:fldCharType="begin"/>
      </w:r>
      <w:r>
        <w:rPr>
          <w:sz w:val="24"/>
          <w:szCs w:val="24"/>
        </w:rPr>
        <w:instrText xml:space="preserve"> PAGEREF _Toc127188339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"_Toc127188340" </w:instrText>
      </w:r>
      <w:r>
        <w:fldChar w:fldCharType="separate"/>
      </w:r>
      <w:r>
        <w:rPr>
          <w:rStyle w:val="19"/>
          <w:rFonts w:cs="Times New Roman"/>
          <w:sz w:val="24"/>
          <w:szCs w:val="24"/>
        </w:rPr>
        <w:t>7.3 监测与预警能力保障</w:t>
      </w:r>
      <w:r>
        <w:rPr>
          <w:sz w:val="24"/>
          <w:szCs w:val="24"/>
        </w:rPr>
        <w:tab/>
      </w:r>
      <w:r>
        <w:rPr>
          <w:sz w:val="24"/>
          <w:szCs w:val="24"/>
        </w:rPr>
        <w:fldChar w:fldCharType="begin"/>
      </w:r>
      <w:r>
        <w:rPr>
          <w:sz w:val="24"/>
          <w:szCs w:val="24"/>
        </w:rPr>
        <w:instrText xml:space="preserve"> PAGEREF _Toc127188340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"_Toc127188341" </w:instrText>
      </w:r>
      <w:r>
        <w:fldChar w:fldCharType="separate"/>
      </w:r>
      <w:r>
        <w:rPr>
          <w:rStyle w:val="19"/>
          <w:rFonts w:cs="Times New Roman"/>
          <w:sz w:val="24"/>
          <w:szCs w:val="24"/>
        </w:rPr>
        <w:t>7.4 通信与信息保障</w:t>
      </w:r>
      <w:r>
        <w:rPr>
          <w:sz w:val="24"/>
          <w:szCs w:val="24"/>
        </w:rPr>
        <w:tab/>
      </w:r>
      <w:r>
        <w:rPr>
          <w:sz w:val="24"/>
          <w:szCs w:val="24"/>
        </w:rPr>
        <w:fldChar w:fldCharType="begin"/>
      </w:r>
      <w:r>
        <w:rPr>
          <w:sz w:val="24"/>
          <w:szCs w:val="24"/>
        </w:rPr>
        <w:instrText xml:space="preserve"> PAGEREF _Toc127188341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"_Toc127188342" </w:instrText>
      </w:r>
      <w:r>
        <w:fldChar w:fldCharType="separate"/>
      </w:r>
      <w:r>
        <w:rPr>
          <w:rStyle w:val="19"/>
          <w:rFonts w:cs="Times New Roman"/>
          <w:sz w:val="24"/>
          <w:szCs w:val="24"/>
        </w:rPr>
        <w:t>7.5 资金保障</w:t>
      </w:r>
      <w:r>
        <w:rPr>
          <w:sz w:val="24"/>
          <w:szCs w:val="24"/>
        </w:rPr>
        <w:tab/>
      </w:r>
      <w:r>
        <w:rPr>
          <w:sz w:val="24"/>
          <w:szCs w:val="24"/>
        </w:rPr>
        <w:fldChar w:fldCharType="begin"/>
      </w:r>
      <w:r>
        <w:rPr>
          <w:sz w:val="24"/>
          <w:szCs w:val="24"/>
        </w:rPr>
        <w:instrText xml:space="preserve"> PAGEREF _Toc127188342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"_Toc127188343" </w:instrText>
      </w:r>
      <w:r>
        <w:fldChar w:fldCharType="separate"/>
      </w:r>
      <w:r>
        <w:rPr>
          <w:rStyle w:val="19"/>
          <w:rFonts w:cs="Times New Roman"/>
          <w:sz w:val="24"/>
          <w:szCs w:val="24"/>
        </w:rPr>
        <w:t>7.6 制度保障</w:t>
      </w:r>
      <w:r>
        <w:rPr>
          <w:sz w:val="24"/>
          <w:szCs w:val="24"/>
        </w:rPr>
        <w:tab/>
      </w:r>
      <w:r>
        <w:rPr>
          <w:sz w:val="24"/>
          <w:szCs w:val="24"/>
        </w:rPr>
        <w:fldChar w:fldCharType="begin"/>
      </w:r>
      <w:r>
        <w:rPr>
          <w:sz w:val="24"/>
          <w:szCs w:val="24"/>
        </w:rPr>
        <w:instrText xml:space="preserve"> PAGEREF _Toc127188343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"_Toc127188344" </w:instrText>
      </w:r>
      <w:r>
        <w:fldChar w:fldCharType="separate"/>
      </w:r>
      <w:r>
        <w:rPr>
          <w:rStyle w:val="19"/>
          <w:rFonts w:cs="Times New Roman"/>
          <w:sz w:val="24"/>
          <w:szCs w:val="24"/>
        </w:rPr>
        <w:t>7.7 宣传保障</w:t>
      </w:r>
      <w:r>
        <w:rPr>
          <w:sz w:val="24"/>
          <w:szCs w:val="24"/>
        </w:rPr>
        <w:tab/>
      </w:r>
      <w:r>
        <w:rPr>
          <w:sz w:val="24"/>
          <w:szCs w:val="24"/>
        </w:rPr>
        <w:fldChar w:fldCharType="begin"/>
      </w:r>
      <w:r>
        <w:rPr>
          <w:sz w:val="24"/>
          <w:szCs w:val="24"/>
        </w:rPr>
        <w:instrText xml:space="preserve"> PAGEREF _Toc127188344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"_Toc127188345" </w:instrText>
      </w:r>
      <w:r>
        <w:fldChar w:fldCharType="separate"/>
      </w:r>
      <w:r>
        <w:rPr>
          <w:rStyle w:val="19"/>
          <w:sz w:val="24"/>
          <w:szCs w:val="24"/>
        </w:rPr>
        <w:t>8责任与奖惩</w:t>
      </w:r>
      <w:r>
        <w:rPr>
          <w:sz w:val="24"/>
          <w:szCs w:val="24"/>
        </w:rPr>
        <w:tab/>
      </w:r>
      <w:r>
        <w:rPr>
          <w:sz w:val="24"/>
          <w:szCs w:val="24"/>
        </w:rPr>
        <w:fldChar w:fldCharType="begin"/>
      </w:r>
      <w:r>
        <w:rPr>
          <w:sz w:val="24"/>
          <w:szCs w:val="24"/>
        </w:rPr>
        <w:instrText xml:space="preserve"> PAGEREF _Toc127188345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"_Toc127188346" </w:instrText>
      </w:r>
      <w:r>
        <w:fldChar w:fldCharType="separate"/>
      </w:r>
      <w:r>
        <w:rPr>
          <w:rStyle w:val="19"/>
          <w:sz w:val="24"/>
          <w:szCs w:val="24"/>
        </w:rPr>
        <w:t>9预案管理与实施</w:t>
      </w:r>
      <w:r>
        <w:rPr>
          <w:sz w:val="24"/>
          <w:szCs w:val="24"/>
        </w:rPr>
        <w:tab/>
      </w:r>
      <w:r>
        <w:rPr>
          <w:sz w:val="24"/>
          <w:szCs w:val="24"/>
        </w:rPr>
        <w:fldChar w:fldCharType="begin"/>
      </w:r>
      <w:r>
        <w:rPr>
          <w:sz w:val="24"/>
          <w:szCs w:val="24"/>
        </w:rPr>
        <w:instrText xml:space="preserve"> PAGEREF _Toc127188346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"_Toc127188347" </w:instrText>
      </w:r>
      <w:r>
        <w:fldChar w:fldCharType="separate"/>
      </w:r>
      <w:r>
        <w:rPr>
          <w:rStyle w:val="19"/>
          <w:rFonts w:cs="Times New Roman"/>
          <w:sz w:val="24"/>
          <w:szCs w:val="24"/>
        </w:rPr>
        <w:t>9.1预案管理</w:t>
      </w:r>
      <w:r>
        <w:rPr>
          <w:sz w:val="24"/>
          <w:szCs w:val="24"/>
        </w:rPr>
        <w:tab/>
      </w:r>
      <w:r>
        <w:rPr>
          <w:sz w:val="24"/>
          <w:szCs w:val="24"/>
        </w:rPr>
        <w:fldChar w:fldCharType="begin"/>
      </w:r>
      <w:r>
        <w:rPr>
          <w:sz w:val="24"/>
          <w:szCs w:val="24"/>
        </w:rPr>
        <w:instrText xml:space="preserve"> PAGEREF _Toc127188347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"_Toc127188348" </w:instrText>
      </w:r>
      <w:r>
        <w:fldChar w:fldCharType="separate"/>
      </w:r>
      <w:r>
        <w:rPr>
          <w:rStyle w:val="19"/>
          <w:rFonts w:cs="Times New Roman"/>
          <w:sz w:val="24"/>
          <w:szCs w:val="24"/>
        </w:rPr>
        <w:t>9.2预案更新</w:t>
      </w:r>
      <w:r>
        <w:rPr>
          <w:sz w:val="24"/>
          <w:szCs w:val="24"/>
        </w:rPr>
        <w:tab/>
      </w:r>
      <w:r>
        <w:rPr>
          <w:sz w:val="24"/>
          <w:szCs w:val="24"/>
        </w:rPr>
        <w:fldChar w:fldCharType="begin"/>
      </w:r>
      <w:r>
        <w:rPr>
          <w:sz w:val="24"/>
          <w:szCs w:val="24"/>
        </w:rPr>
        <w:instrText xml:space="preserve"> PAGEREF _Toc127188348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"_Toc127188349" </w:instrText>
      </w:r>
      <w:r>
        <w:fldChar w:fldCharType="separate"/>
      </w:r>
      <w:r>
        <w:rPr>
          <w:rStyle w:val="19"/>
          <w:rFonts w:cs="Times New Roman"/>
          <w:sz w:val="24"/>
          <w:szCs w:val="24"/>
        </w:rPr>
        <w:t>9.3预案实施</w:t>
      </w:r>
      <w:r>
        <w:rPr>
          <w:sz w:val="24"/>
          <w:szCs w:val="24"/>
        </w:rPr>
        <w:tab/>
      </w:r>
      <w:r>
        <w:rPr>
          <w:sz w:val="24"/>
          <w:szCs w:val="24"/>
        </w:rPr>
        <w:fldChar w:fldCharType="begin"/>
      </w:r>
      <w:r>
        <w:rPr>
          <w:sz w:val="24"/>
          <w:szCs w:val="24"/>
        </w:rPr>
        <w:instrText xml:space="preserve"> PAGEREF _Toc127188349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"_Toc127188350" </w:instrText>
      </w:r>
      <w:r>
        <w:fldChar w:fldCharType="separate"/>
      </w:r>
      <w:r>
        <w:rPr>
          <w:rStyle w:val="19"/>
          <w:sz w:val="24"/>
          <w:szCs w:val="24"/>
        </w:rPr>
        <w:t>10附则</w:t>
      </w:r>
      <w:r>
        <w:rPr>
          <w:sz w:val="24"/>
          <w:szCs w:val="24"/>
        </w:rPr>
        <w:tab/>
      </w:r>
      <w:r>
        <w:rPr>
          <w:sz w:val="24"/>
          <w:szCs w:val="24"/>
        </w:rPr>
        <w:fldChar w:fldCharType="begin"/>
      </w:r>
      <w:r>
        <w:rPr>
          <w:sz w:val="24"/>
          <w:szCs w:val="24"/>
        </w:rPr>
        <w:instrText xml:space="preserve"> PAGEREF _Toc127188350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3"/>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"_Toc127188351" </w:instrText>
      </w:r>
      <w:r>
        <w:fldChar w:fldCharType="separate"/>
      </w:r>
      <w:r>
        <w:rPr>
          <w:rStyle w:val="19"/>
          <w:sz w:val="24"/>
          <w:szCs w:val="24"/>
        </w:rPr>
        <w:t>附件：</w:t>
      </w:r>
      <w:r>
        <w:rPr>
          <w:sz w:val="24"/>
          <w:szCs w:val="24"/>
        </w:rPr>
        <w:tab/>
      </w:r>
      <w:r>
        <w:rPr>
          <w:sz w:val="24"/>
          <w:szCs w:val="24"/>
        </w:rPr>
        <w:fldChar w:fldCharType="begin"/>
      </w:r>
      <w:r>
        <w:rPr>
          <w:sz w:val="24"/>
          <w:szCs w:val="24"/>
        </w:rPr>
        <w:instrText xml:space="preserve"> PAGEREF _Toc127188351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"_Toc127188352" </w:instrText>
      </w:r>
      <w:r>
        <w:fldChar w:fldCharType="separate"/>
      </w:r>
      <w:r>
        <w:rPr>
          <w:rStyle w:val="19"/>
          <w:rFonts w:cs="Times New Roman"/>
          <w:sz w:val="24"/>
          <w:szCs w:val="24"/>
        </w:rPr>
        <w:t>附件1 通城县重污染天气应急响应组织机构</w:t>
      </w:r>
      <w:r>
        <w:rPr>
          <w:sz w:val="24"/>
          <w:szCs w:val="24"/>
        </w:rPr>
        <w:tab/>
      </w:r>
      <w:r>
        <w:rPr>
          <w:sz w:val="24"/>
          <w:szCs w:val="24"/>
        </w:rPr>
        <w:fldChar w:fldCharType="begin"/>
      </w:r>
      <w:r>
        <w:rPr>
          <w:sz w:val="24"/>
          <w:szCs w:val="24"/>
        </w:rPr>
        <w:instrText xml:space="preserve"> PAGEREF _Toc127188352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"_Toc127188353" </w:instrText>
      </w:r>
      <w:r>
        <w:fldChar w:fldCharType="separate"/>
      </w:r>
      <w:r>
        <w:rPr>
          <w:rStyle w:val="19"/>
          <w:rFonts w:cs="Times New Roman"/>
          <w:sz w:val="24"/>
          <w:szCs w:val="24"/>
        </w:rPr>
        <w:t>附件2 通城县重污染天气预警及应急响应程序</w:t>
      </w:r>
      <w:r>
        <w:rPr>
          <w:sz w:val="24"/>
          <w:szCs w:val="24"/>
        </w:rPr>
        <w:tab/>
      </w:r>
      <w:r>
        <w:rPr>
          <w:sz w:val="24"/>
          <w:szCs w:val="24"/>
        </w:rPr>
        <w:fldChar w:fldCharType="begin"/>
      </w:r>
      <w:r>
        <w:rPr>
          <w:sz w:val="24"/>
          <w:szCs w:val="24"/>
        </w:rPr>
        <w:instrText xml:space="preserve"> PAGEREF _Toc127188353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"_Toc127188354" </w:instrText>
      </w:r>
      <w:r>
        <w:fldChar w:fldCharType="separate"/>
      </w:r>
      <w:r>
        <w:rPr>
          <w:rStyle w:val="19"/>
          <w:rFonts w:cs="Times New Roman"/>
          <w:sz w:val="24"/>
          <w:szCs w:val="24"/>
        </w:rPr>
        <w:t>附件3 通城县重污染天气应急指挥部成员联系方式</w:t>
      </w:r>
      <w:r>
        <w:rPr>
          <w:sz w:val="24"/>
          <w:szCs w:val="24"/>
        </w:rPr>
        <w:tab/>
      </w:r>
      <w:r>
        <w:rPr>
          <w:sz w:val="24"/>
          <w:szCs w:val="24"/>
        </w:rPr>
        <w:fldChar w:fldCharType="begin"/>
      </w:r>
      <w:r>
        <w:rPr>
          <w:sz w:val="24"/>
          <w:szCs w:val="24"/>
        </w:rPr>
        <w:instrText xml:space="preserve"> PAGEREF _Toc127188354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"_Toc127188355" </w:instrText>
      </w:r>
      <w:r>
        <w:fldChar w:fldCharType="separate"/>
      </w:r>
      <w:r>
        <w:rPr>
          <w:rStyle w:val="19"/>
          <w:rFonts w:cs="Times New Roman"/>
          <w:sz w:val="24"/>
          <w:szCs w:val="24"/>
        </w:rPr>
        <w:t>附件4 通城县重污染天气会商意见表</w:t>
      </w:r>
      <w:r>
        <w:rPr>
          <w:sz w:val="24"/>
          <w:szCs w:val="24"/>
        </w:rPr>
        <w:tab/>
      </w:r>
      <w:r>
        <w:rPr>
          <w:sz w:val="24"/>
          <w:szCs w:val="24"/>
        </w:rPr>
        <w:fldChar w:fldCharType="begin"/>
      </w:r>
      <w:r>
        <w:rPr>
          <w:sz w:val="24"/>
          <w:szCs w:val="24"/>
        </w:rPr>
        <w:instrText xml:space="preserve"> PAGEREF _Toc127188355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"_Toc127188356" </w:instrText>
      </w:r>
      <w:r>
        <w:fldChar w:fldCharType="separate"/>
      </w:r>
      <w:r>
        <w:rPr>
          <w:rStyle w:val="19"/>
          <w:rFonts w:cs="Times New Roman"/>
          <w:sz w:val="24"/>
          <w:szCs w:val="24"/>
        </w:rPr>
        <w:t>附件5 通城县重污染天气预警信息审批表</w:t>
      </w:r>
      <w:r>
        <w:rPr>
          <w:sz w:val="24"/>
          <w:szCs w:val="24"/>
        </w:rPr>
        <w:tab/>
      </w:r>
      <w:r>
        <w:rPr>
          <w:sz w:val="24"/>
          <w:szCs w:val="24"/>
        </w:rPr>
        <w:fldChar w:fldCharType="begin"/>
      </w:r>
      <w:r>
        <w:rPr>
          <w:sz w:val="24"/>
          <w:szCs w:val="24"/>
        </w:rPr>
        <w:instrText xml:space="preserve"> PAGEREF _Toc127188356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"_Toc127188357" </w:instrText>
      </w:r>
      <w:r>
        <w:fldChar w:fldCharType="separate"/>
      </w:r>
      <w:r>
        <w:rPr>
          <w:rStyle w:val="19"/>
          <w:rFonts w:cs="Times New Roman"/>
          <w:sz w:val="24"/>
          <w:szCs w:val="24"/>
        </w:rPr>
        <w:t>附件6 通城县重污染天气预警分级及启动条件</w:t>
      </w:r>
      <w:r>
        <w:rPr>
          <w:sz w:val="24"/>
          <w:szCs w:val="24"/>
        </w:rPr>
        <w:tab/>
      </w:r>
      <w:r>
        <w:rPr>
          <w:sz w:val="24"/>
          <w:szCs w:val="24"/>
        </w:rPr>
        <w:fldChar w:fldCharType="begin"/>
      </w:r>
      <w:r>
        <w:rPr>
          <w:sz w:val="24"/>
          <w:szCs w:val="24"/>
        </w:rPr>
        <w:instrText xml:space="preserve"> PAGEREF _Toc127188357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"_Toc127188358" </w:instrText>
      </w:r>
      <w:r>
        <w:fldChar w:fldCharType="separate"/>
      </w:r>
      <w:r>
        <w:rPr>
          <w:rStyle w:val="19"/>
          <w:rFonts w:cs="Times New Roman"/>
          <w:sz w:val="24"/>
          <w:szCs w:val="24"/>
        </w:rPr>
        <w:t>附件7 通城县重点行业企业名单及分级减排措施</w:t>
      </w:r>
      <w:r>
        <w:rPr>
          <w:sz w:val="24"/>
          <w:szCs w:val="24"/>
        </w:rPr>
        <w:tab/>
      </w:r>
      <w:r>
        <w:rPr>
          <w:sz w:val="24"/>
          <w:szCs w:val="24"/>
        </w:rPr>
        <w:fldChar w:fldCharType="begin"/>
      </w:r>
      <w:r>
        <w:rPr>
          <w:sz w:val="24"/>
          <w:szCs w:val="24"/>
        </w:rPr>
        <w:instrText xml:space="preserve"> PAGEREF _Toc127188358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"_Toc127188359" </w:instrText>
      </w:r>
      <w:r>
        <w:fldChar w:fldCharType="separate"/>
      </w:r>
      <w:r>
        <w:rPr>
          <w:rStyle w:val="19"/>
          <w:rFonts w:cs="Times New Roman"/>
          <w:sz w:val="24"/>
          <w:szCs w:val="24"/>
        </w:rPr>
        <w:t>附件8 通城县重污染天气应急响应响应情况报送表</w:t>
      </w:r>
      <w:r>
        <w:rPr>
          <w:sz w:val="24"/>
          <w:szCs w:val="24"/>
        </w:rPr>
        <w:tab/>
      </w:r>
      <w:r>
        <w:rPr>
          <w:sz w:val="24"/>
          <w:szCs w:val="24"/>
        </w:rPr>
        <w:fldChar w:fldCharType="begin"/>
      </w:r>
      <w:r>
        <w:rPr>
          <w:sz w:val="24"/>
          <w:szCs w:val="24"/>
        </w:rPr>
        <w:instrText xml:space="preserve"> PAGEREF _Toc127188359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"_Toc127188360" </w:instrText>
      </w:r>
      <w:r>
        <w:fldChar w:fldCharType="separate"/>
      </w:r>
      <w:r>
        <w:rPr>
          <w:rStyle w:val="19"/>
          <w:rFonts w:cs="Times New Roman"/>
          <w:sz w:val="24"/>
          <w:szCs w:val="24"/>
        </w:rPr>
        <w:t>附件9 通城县重污染天气应急响应统计表</w:t>
      </w:r>
      <w:r>
        <w:rPr>
          <w:sz w:val="24"/>
          <w:szCs w:val="24"/>
        </w:rPr>
        <w:tab/>
      </w:r>
      <w:r>
        <w:rPr>
          <w:sz w:val="24"/>
          <w:szCs w:val="24"/>
        </w:rPr>
        <w:fldChar w:fldCharType="begin"/>
      </w:r>
      <w:r>
        <w:rPr>
          <w:sz w:val="24"/>
          <w:szCs w:val="24"/>
        </w:rPr>
        <w:instrText xml:space="preserve"> PAGEREF _Toc127188360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"_Toc127188361" </w:instrText>
      </w:r>
      <w:r>
        <w:fldChar w:fldCharType="separate"/>
      </w:r>
      <w:r>
        <w:rPr>
          <w:rStyle w:val="19"/>
          <w:rFonts w:cs="Times New Roman"/>
          <w:sz w:val="24"/>
          <w:szCs w:val="24"/>
        </w:rPr>
        <w:t>附件10通城县重污染天气效果评估表</w:t>
      </w:r>
      <w:r>
        <w:rPr>
          <w:sz w:val="24"/>
          <w:szCs w:val="24"/>
        </w:rPr>
        <w:tab/>
      </w:r>
      <w:r>
        <w:rPr>
          <w:sz w:val="24"/>
          <w:szCs w:val="24"/>
        </w:rPr>
        <w:fldChar w:fldCharType="begin"/>
      </w:r>
      <w:r>
        <w:rPr>
          <w:sz w:val="24"/>
          <w:szCs w:val="24"/>
        </w:rPr>
        <w:instrText xml:space="preserve"> PAGEREF _Toc127188361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"_Toc127188362" </w:instrText>
      </w:r>
      <w:r>
        <w:fldChar w:fldCharType="separate"/>
      </w:r>
      <w:r>
        <w:rPr>
          <w:rStyle w:val="19"/>
          <w:rFonts w:cs="Times New Roman"/>
          <w:sz w:val="24"/>
          <w:szCs w:val="24"/>
        </w:rPr>
        <w:t>附件11 通城县重污染天气各区域征求意见</w:t>
      </w:r>
      <w:r>
        <w:rPr>
          <w:sz w:val="24"/>
          <w:szCs w:val="24"/>
        </w:rPr>
        <w:tab/>
      </w:r>
      <w:r>
        <w:rPr>
          <w:sz w:val="24"/>
          <w:szCs w:val="24"/>
        </w:rPr>
        <w:fldChar w:fldCharType="begin"/>
      </w:r>
      <w:r>
        <w:rPr>
          <w:sz w:val="24"/>
          <w:szCs w:val="24"/>
        </w:rPr>
        <w:instrText xml:space="preserve"> PAGEREF _Toc127188362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"_Toc127188363" </w:instrText>
      </w:r>
      <w:r>
        <w:fldChar w:fldCharType="separate"/>
      </w:r>
      <w:r>
        <w:rPr>
          <w:rStyle w:val="19"/>
          <w:rFonts w:cs="Times New Roman"/>
          <w:sz w:val="24"/>
          <w:szCs w:val="24"/>
        </w:rPr>
        <w:t>附件12 重污染天气应急指挥部专家组名单</w:t>
      </w:r>
      <w:r>
        <w:rPr>
          <w:sz w:val="24"/>
          <w:szCs w:val="24"/>
        </w:rPr>
        <w:tab/>
      </w:r>
      <w:r>
        <w:rPr>
          <w:sz w:val="24"/>
          <w:szCs w:val="24"/>
        </w:rPr>
        <w:fldChar w:fldCharType="begin"/>
      </w:r>
      <w:r>
        <w:rPr>
          <w:sz w:val="24"/>
          <w:szCs w:val="24"/>
        </w:rPr>
        <w:instrText xml:space="preserve"> PAGEREF _Toc127188363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"_Toc127188364" </w:instrText>
      </w:r>
      <w:r>
        <w:fldChar w:fldCharType="separate"/>
      </w:r>
      <w:r>
        <w:rPr>
          <w:rStyle w:val="19"/>
          <w:rFonts w:cs="Times New Roman"/>
          <w:sz w:val="24"/>
          <w:szCs w:val="24"/>
        </w:rPr>
        <w:t>附件13通城县重污染天气应急指挥部各成员单位职责分工</w:t>
      </w:r>
      <w:r>
        <w:rPr>
          <w:sz w:val="24"/>
          <w:szCs w:val="24"/>
        </w:rPr>
        <w:tab/>
      </w:r>
      <w:r>
        <w:rPr>
          <w:sz w:val="24"/>
          <w:szCs w:val="24"/>
        </w:rPr>
        <w:fldChar w:fldCharType="begin"/>
      </w:r>
      <w:r>
        <w:rPr>
          <w:sz w:val="24"/>
          <w:szCs w:val="24"/>
        </w:rPr>
        <w:instrText xml:space="preserve"> PAGEREF _Toc127188364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"_Toc127188365" </w:instrText>
      </w:r>
      <w:r>
        <w:fldChar w:fldCharType="separate"/>
      </w:r>
      <w:r>
        <w:rPr>
          <w:rStyle w:val="19"/>
          <w:rFonts w:cs="Times New Roman"/>
          <w:sz w:val="24"/>
          <w:szCs w:val="24"/>
        </w:rPr>
        <w:t>附件14咸宁市通城县移动源</w:t>
      </w:r>
      <w:r>
        <w:rPr>
          <w:sz w:val="24"/>
          <w:szCs w:val="24"/>
        </w:rPr>
        <w:tab/>
      </w:r>
      <w:r>
        <w:rPr>
          <w:sz w:val="24"/>
          <w:szCs w:val="24"/>
        </w:rPr>
        <w:fldChar w:fldCharType="begin"/>
      </w:r>
      <w:r>
        <w:rPr>
          <w:sz w:val="24"/>
          <w:szCs w:val="24"/>
        </w:rPr>
        <w:instrText xml:space="preserve"> PAGEREF _Toc127188365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"_Toc127188366" </w:instrText>
      </w:r>
      <w:r>
        <w:fldChar w:fldCharType="separate"/>
      </w:r>
      <w:r>
        <w:rPr>
          <w:rStyle w:val="19"/>
          <w:rFonts w:cs="Times New Roman"/>
          <w:sz w:val="24"/>
          <w:szCs w:val="24"/>
        </w:rPr>
        <w:t>附件15施工扬尘源</w:t>
      </w:r>
      <w:r>
        <w:rPr>
          <w:sz w:val="24"/>
          <w:szCs w:val="24"/>
        </w:rPr>
        <w:tab/>
      </w:r>
      <w:r>
        <w:rPr>
          <w:sz w:val="24"/>
          <w:szCs w:val="24"/>
        </w:rPr>
        <w:fldChar w:fldCharType="begin"/>
      </w:r>
      <w:r>
        <w:rPr>
          <w:sz w:val="24"/>
          <w:szCs w:val="24"/>
        </w:rPr>
        <w:instrText xml:space="preserve"> PAGEREF _Toc127188366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4"/>
          <w:szCs w:val="24"/>
        </w:rPr>
      </w:pPr>
      <w:r>
        <w:fldChar w:fldCharType="begin"/>
      </w:r>
      <w:r>
        <w:instrText xml:space="preserve"> HYPERLINK \l "_Toc127188367" </w:instrText>
      </w:r>
      <w:r>
        <w:fldChar w:fldCharType="separate"/>
      </w:r>
      <w:r>
        <w:rPr>
          <w:rStyle w:val="19"/>
          <w:rFonts w:cs="Times New Roman"/>
          <w:sz w:val="24"/>
          <w:szCs w:val="24"/>
        </w:rPr>
        <w:t>附件16征求意见汇总</w:t>
      </w:r>
      <w:r>
        <w:rPr>
          <w:sz w:val="24"/>
          <w:szCs w:val="24"/>
        </w:rPr>
        <w:tab/>
      </w:r>
      <w:r>
        <w:rPr>
          <w:sz w:val="24"/>
          <w:szCs w:val="24"/>
        </w:rPr>
        <w:fldChar w:fldCharType="begin"/>
      </w:r>
      <w:r>
        <w:rPr>
          <w:sz w:val="24"/>
          <w:szCs w:val="24"/>
        </w:rPr>
        <w:instrText xml:space="preserve"> PAGEREF _Toc127188367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4"/>
        <w:tabs>
          <w:tab w:val="right" w:leader="dot" w:pos="8296"/>
        </w:tabs>
        <w:ind w:firstLine="560"/>
        <w:rPr>
          <w:rFonts w:asciiTheme="minorHAnsi" w:hAnsiTheme="minorHAnsi" w:eastAsiaTheme="minorEastAsia" w:cstheme="minorBidi"/>
          <w:sz w:val="21"/>
        </w:rPr>
      </w:pPr>
      <w:r>
        <w:fldChar w:fldCharType="begin"/>
      </w:r>
      <w:r>
        <w:instrText xml:space="preserve"> HYPERLINK \l "_Toc127188368" </w:instrText>
      </w:r>
      <w:r>
        <w:fldChar w:fldCharType="separate"/>
      </w:r>
      <w:r>
        <w:rPr>
          <w:rStyle w:val="19"/>
          <w:rFonts w:cs="Times New Roman"/>
          <w:sz w:val="24"/>
          <w:szCs w:val="24"/>
        </w:rPr>
        <w:t>附件17专家组评估意见及与会人员签到表</w:t>
      </w:r>
      <w:r>
        <w:rPr>
          <w:sz w:val="24"/>
          <w:szCs w:val="24"/>
        </w:rPr>
        <w:tab/>
      </w:r>
      <w:r>
        <w:rPr>
          <w:sz w:val="24"/>
          <w:szCs w:val="24"/>
        </w:rPr>
        <w:fldChar w:fldCharType="begin"/>
      </w:r>
      <w:r>
        <w:rPr>
          <w:sz w:val="24"/>
          <w:szCs w:val="24"/>
        </w:rPr>
        <w:instrText xml:space="preserve"> PAGEREF _Toc127188368 \h </w:instrText>
      </w:r>
      <w:r>
        <w:rPr>
          <w:sz w:val="24"/>
          <w:szCs w:val="24"/>
        </w:rPr>
        <w:fldChar w:fldCharType="separate"/>
      </w:r>
      <w:r>
        <w:rPr>
          <w:sz w:val="24"/>
          <w:szCs w:val="24"/>
        </w:rPr>
        <w:t>50</w:t>
      </w:r>
      <w:r>
        <w:rPr>
          <w:sz w:val="24"/>
          <w:szCs w:val="24"/>
        </w:rPr>
        <w:fldChar w:fldCharType="end"/>
      </w:r>
      <w:r>
        <w:rPr>
          <w:sz w:val="24"/>
          <w:szCs w:val="24"/>
        </w:rPr>
        <w:fldChar w:fldCharType="end"/>
      </w:r>
    </w:p>
    <w:p>
      <w:pPr>
        <w:rPr>
          <w:rFonts w:ascii="Times New Roman" w:hAnsi="Times New Roman" w:eastAsia="仿宋" w:cs="Times New Roman"/>
        </w:rPr>
      </w:pPr>
      <w:r>
        <w:rPr>
          <w:rFonts w:ascii="Times New Roman" w:hAnsi="Times New Roman" w:eastAsia="仿宋" w:cs="Times New Roman"/>
          <w:bCs/>
          <w:sz w:val="24"/>
          <w:szCs w:val="24"/>
          <w:lang w:val="zh-CN"/>
        </w:rPr>
        <w:fldChar w:fldCharType="end"/>
      </w:r>
    </w:p>
    <w:p>
      <w:pPr>
        <w:tabs>
          <w:tab w:val="left" w:pos="5070"/>
        </w:tabs>
        <w:rPr>
          <w:rFonts w:ascii="Times New Roman" w:hAnsi="Times New Roman" w:eastAsia="仿宋" w:cs="Times New Roman"/>
        </w:rPr>
      </w:pPr>
      <w:r>
        <w:rPr>
          <w:rFonts w:ascii="Times New Roman" w:hAnsi="Times New Roman" w:eastAsia="仿宋" w:cs="Times New Roman"/>
        </w:rPr>
        <w:tab/>
      </w:r>
    </w:p>
    <w:p>
      <w:pPr>
        <w:pStyle w:val="25"/>
        <w:jc w:val="center"/>
        <w:rPr>
          <w:rFonts w:eastAsia="仿宋"/>
          <w:sz w:val="48"/>
          <w:szCs w:val="48"/>
        </w:rPr>
      </w:pPr>
      <w:bookmarkStart w:id="0" w:name="_Toc127188288"/>
      <w:r>
        <w:rPr>
          <w:rFonts w:eastAsia="仿宋"/>
          <w:sz w:val="48"/>
          <w:szCs w:val="48"/>
        </w:rPr>
        <w:t>前    言</w:t>
      </w:r>
      <w:bookmarkEnd w:id="0"/>
    </w:p>
    <w:p>
      <w:pPr>
        <w:spacing w:line="560" w:lineRule="exact"/>
        <w:ind w:firstLine="560"/>
        <w:rPr>
          <w:rFonts w:ascii="Times New Roman" w:hAnsi="Times New Roman" w:eastAsia="仿宋" w:cs="Times New Roman"/>
          <w:color w:val="000000"/>
          <w:szCs w:val="32"/>
        </w:rPr>
      </w:pPr>
    </w:p>
    <w:p>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随着机构改革的深入实施、为深入贯彻落实《中共中央国务院关于深入打好污染 防治攻坚战的意见》,进一步强化</w:t>
      </w:r>
      <w:r>
        <w:rPr>
          <w:rFonts w:hint="eastAsia" w:ascii="Times New Roman" w:hAnsi="Times New Roman" w:eastAsia="仿宋" w:cs="Times New Roman"/>
          <w:color w:val="000000"/>
          <w:sz w:val="28"/>
          <w:szCs w:val="28"/>
        </w:rPr>
        <w:t>咸宁通城全县</w:t>
      </w:r>
      <w:r>
        <w:rPr>
          <w:rFonts w:ascii="Times New Roman" w:hAnsi="Times New Roman" w:eastAsia="仿宋" w:cs="Times New Roman"/>
          <w:color w:val="000000"/>
          <w:sz w:val="28"/>
          <w:szCs w:val="28"/>
        </w:rPr>
        <w:t>重污染天气应对和大气污染联防联控机制，相关</w:t>
      </w:r>
      <w:r>
        <w:rPr>
          <w:rFonts w:hint="eastAsia" w:ascii="Times New Roman" w:hAnsi="Times New Roman" w:eastAsia="仿宋" w:cs="Times New Roman"/>
          <w:color w:val="000000"/>
          <w:sz w:val="28"/>
          <w:szCs w:val="28"/>
        </w:rPr>
        <w:t>乡镇</w:t>
      </w:r>
      <w:r>
        <w:rPr>
          <w:rFonts w:ascii="Times New Roman" w:hAnsi="Times New Roman" w:eastAsia="仿宋" w:cs="Times New Roman"/>
          <w:color w:val="000000"/>
          <w:sz w:val="28"/>
          <w:szCs w:val="28"/>
        </w:rPr>
        <w:t>部门承担重污染天气应对职责需作进一步调整，有关预警、响应程序需进一步明确。同时，针对我县污染传输通道情况，需建立健全区域联防联控机制。现行的《应急预案》已不能满足新形势下我县重污染天气应对的新要求。为有效应对重污染天气，进一步健全完善</w:t>
      </w:r>
      <w:r>
        <w:rPr>
          <w:rFonts w:hint="eastAsia" w:ascii="Times New Roman" w:hAnsi="Times New Roman" w:eastAsia="仿宋" w:cs="Times New Roman"/>
          <w:color w:val="000000"/>
          <w:sz w:val="28"/>
          <w:szCs w:val="28"/>
        </w:rPr>
        <w:t>全县</w:t>
      </w:r>
      <w:r>
        <w:rPr>
          <w:rFonts w:ascii="Times New Roman" w:hAnsi="Times New Roman" w:eastAsia="仿宋" w:cs="Times New Roman"/>
          <w:color w:val="000000"/>
          <w:sz w:val="28"/>
          <w:szCs w:val="28"/>
        </w:rPr>
        <w:t>重污染天气应对处置机制，统筹做好应急响应工作，提高预防预警、应急响应能力和环境精细化管理水平，基本消除重度及以上污染天气，保障公众健康，亟需对</w:t>
      </w:r>
      <w:r>
        <w:rPr>
          <w:rFonts w:ascii="Times New Roman" w:hAnsi="Times New Roman" w:eastAsia="仿宋" w:cs="Times New Roman"/>
          <w:sz w:val="28"/>
          <w:szCs w:val="28"/>
        </w:rPr>
        <w:t>通城县人民政府于2019年11月编制的《通城县重污染天气应急预案》</w:t>
      </w:r>
      <w:r>
        <w:rPr>
          <w:rFonts w:ascii="Times New Roman" w:hAnsi="Times New Roman" w:eastAsia="仿宋" w:cs="Times New Roman"/>
          <w:color w:val="000000"/>
          <w:sz w:val="28"/>
          <w:szCs w:val="28"/>
        </w:rPr>
        <w:t>进行修订。</w:t>
      </w: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pStyle w:val="25"/>
        <w:rPr>
          <w:rFonts w:eastAsia="仿宋"/>
        </w:rPr>
      </w:pPr>
      <w:bookmarkStart w:id="1" w:name="_Toc127188289"/>
      <w:r>
        <w:rPr>
          <w:rFonts w:eastAsia="仿宋"/>
        </w:rPr>
        <w:t>1 总则</w:t>
      </w:r>
      <w:bookmarkEnd w:id="1"/>
    </w:p>
    <w:p>
      <w:pPr>
        <w:pStyle w:val="27"/>
        <w:ind w:firstLine="161"/>
        <w:rPr>
          <w:rFonts w:eastAsia="仿宋" w:cs="Times New Roman"/>
        </w:rPr>
      </w:pPr>
      <w:bookmarkStart w:id="2" w:name="_Toc529367570"/>
      <w:bookmarkStart w:id="3" w:name="_Toc127188290"/>
      <w:r>
        <w:rPr>
          <w:rFonts w:eastAsia="仿宋" w:cs="Times New Roman"/>
        </w:rPr>
        <w:t>1.1 编制目的</w:t>
      </w:r>
      <w:bookmarkEnd w:id="2"/>
      <w:bookmarkEnd w:id="3"/>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为有效应对重污染天气，进一步建立健全通城县重污染天气应急处置机制，统筹做好全通城县重污染应急响应工作，提高我县重污染天气预防预警、应急 响应能力和环境精细化管理水平和应急响应能力，最大程度降低重污染天气对公众身体健康的影响、基本消除重度及以上污染天气，保障公众健康，根据国家、省和市有关规定，结合我县实际情况，特制定本预案。</w:t>
      </w:r>
    </w:p>
    <w:p>
      <w:pPr>
        <w:pStyle w:val="27"/>
        <w:ind w:firstLine="161"/>
        <w:rPr>
          <w:rFonts w:eastAsia="仿宋" w:cs="Times New Roman"/>
        </w:rPr>
      </w:pPr>
      <w:bookmarkStart w:id="4" w:name="_Toc127188291"/>
      <w:bookmarkStart w:id="5" w:name="_Toc529367571"/>
      <w:r>
        <w:rPr>
          <w:rFonts w:eastAsia="仿宋" w:cs="Times New Roman"/>
        </w:rPr>
        <w:t>1.2 编制依据</w:t>
      </w:r>
      <w:bookmarkEnd w:id="4"/>
      <w:bookmarkEnd w:id="5"/>
    </w:p>
    <w:p>
      <w:pPr>
        <w:spacing w:line="560" w:lineRule="exact"/>
        <w:ind w:firstLine="560"/>
        <w:rPr>
          <w:rFonts w:ascii="Times New Roman" w:hAnsi="Times New Roman" w:eastAsia="仿宋" w:cs="Times New Roman"/>
          <w:sz w:val="28"/>
          <w:szCs w:val="28"/>
        </w:rPr>
      </w:pPr>
      <w:r>
        <w:rPr>
          <w:rFonts w:ascii="Times New Roman" w:hAnsi="Times New Roman" w:eastAsia="仿宋" w:cs="Times New Roman"/>
          <w:sz w:val="28"/>
          <w:szCs w:val="28"/>
        </w:rPr>
        <w:t>依据《中华人民共和国大气污染防治法》、 《中华人民共和国突发事件应对法》、《国家突发环境事件应急预案》、</w:t>
      </w:r>
      <w:r>
        <w:rPr>
          <w:rFonts w:hint="eastAsia" w:ascii="Times New Roman" w:hAnsi="Times New Roman" w:eastAsia="仿宋" w:cs="Times New Roman"/>
          <w:sz w:val="28"/>
          <w:szCs w:val="28"/>
        </w:rPr>
        <w:t>《应急减排清单技术导则》、</w:t>
      </w:r>
      <w:r>
        <w:rPr>
          <w:rFonts w:ascii="Times New Roman" w:hAnsi="Times New Roman" w:eastAsia="仿宋" w:cs="Times New Roman"/>
          <w:sz w:val="28"/>
          <w:szCs w:val="28"/>
        </w:rPr>
        <w:t>《中共中央国务院关于深入打好污染防治攻坚战的意见》、《重污染天气预警分级标准和应急减排措施修订工作方案》(环大气〔2017〕86号)、 《生态环境部办公厅关于推进重污染天气应急预案修订工作的指导意见》(环办大气函〔2018〕875号)、《湖北省大气污染防治条例》、《省人民政府办公厅关于印发湖北省环境空气质量考核预警和重污染天气应对工作管理办法的通知》(鄂政办发〔2019〕16号)、 《湖北省突发环境事件  应急预案》(鄂政办函〔2021〕1号)及相关法律、法规、标准、文件等相关法律、法规、规章及规范性文件，编制本预案。</w:t>
      </w:r>
    </w:p>
    <w:p>
      <w:pPr>
        <w:pStyle w:val="27"/>
        <w:ind w:firstLine="161"/>
        <w:rPr>
          <w:rFonts w:eastAsia="仿宋" w:cs="Times New Roman"/>
        </w:rPr>
      </w:pPr>
      <w:bookmarkStart w:id="6" w:name="_Toc127188292"/>
      <w:bookmarkStart w:id="7" w:name="_Toc529367572"/>
      <w:r>
        <w:rPr>
          <w:rFonts w:eastAsia="仿宋" w:cs="Times New Roman"/>
        </w:rPr>
        <w:t>1.3 适用范围</w:t>
      </w:r>
      <w:bookmarkEnd w:id="6"/>
      <w:bookmarkEnd w:id="7"/>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本预案适用于通城县行政区域内发生重污染天气的预警和应急响应。</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本预案所指的重污染天气，</w:t>
      </w:r>
      <w:r>
        <w:rPr>
          <w:rFonts w:hint="eastAsia" w:ascii="Times New Roman" w:hAnsi="Times New Roman" w:eastAsia="仿宋" w:cs="Times New Roman"/>
          <w:color w:val="000000"/>
          <w:sz w:val="28"/>
          <w:szCs w:val="28"/>
        </w:rPr>
        <w:t>根据《环境空气质量指数（</w:t>
      </w:r>
      <w:r>
        <w:rPr>
          <w:rFonts w:ascii="Times New Roman" w:hAnsi="Times New Roman" w:eastAsia="仿宋" w:cs="Times New Roman"/>
          <w:color w:val="000000"/>
          <w:sz w:val="28"/>
          <w:szCs w:val="28"/>
        </w:rPr>
        <w:t>AQI）技术规定(试行)》（HJ633-2012），指环境空气质量指数（AQI）大于200，即空气质量达到5级（重度污染）及以上污染程度的大气污染。重污染天气可分为重度污染（5级）和严重污染（6级）两级。因沙尘造成的重污染天气，参照沙尘天气应对相关要求执行，不纳入本应急预案范畴。</w:t>
      </w:r>
    </w:p>
    <w:p>
      <w:pPr>
        <w:pStyle w:val="27"/>
        <w:ind w:firstLine="161"/>
        <w:rPr>
          <w:rFonts w:eastAsia="仿宋" w:cs="Times New Roman"/>
        </w:rPr>
      </w:pPr>
      <w:bookmarkStart w:id="8" w:name="_Toc127188293"/>
      <w:bookmarkStart w:id="9" w:name="_Toc529367573"/>
      <w:r>
        <w:rPr>
          <w:rFonts w:eastAsia="仿宋" w:cs="Times New Roman"/>
        </w:rPr>
        <w:t>1.4 预案体系</w:t>
      </w:r>
      <w:bookmarkEnd w:id="8"/>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本预案为咸宁市通城县突发环境事件应急预案体系的重要组成部分，统筹全通城县重污染天气应急工作，本重污染应急预案体系包括：重污染天气应急预案、应急管控清单、各部门职责清单。</w:t>
      </w:r>
    </w:p>
    <w:p>
      <w:pPr>
        <w:pStyle w:val="27"/>
        <w:ind w:firstLine="161"/>
        <w:rPr>
          <w:rFonts w:eastAsia="仿宋" w:cs="Times New Roman"/>
        </w:rPr>
      </w:pPr>
      <w:bookmarkStart w:id="10" w:name="_Toc127188294"/>
      <w:r>
        <w:rPr>
          <w:rFonts w:eastAsia="仿宋" w:cs="Times New Roman"/>
        </w:rPr>
        <w:t>1.5工作原则</w:t>
      </w:r>
      <w:bookmarkEnd w:id="9"/>
      <w:bookmarkEnd w:id="10"/>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(1)以人为本，预防为主。把保障公众身体健康作为重污 染天气应急响应的出发点，强化节能减排措施，加强监测预警， 切实预防重污染天气的发生，最大程度降低重污染天气对公众 身体健康的影响。</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(2)统一领导，属地管理。建立统一的重污染天气应急管理系统，明确</w:t>
      </w:r>
      <w:r>
        <w:rPr>
          <w:rFonts w:hint="eastAsia" w:ascii="Times New Roman" w:hAnsi="Times New Roman" w:eastAsia="仿宋" w:cs="Times New Roman"/>
          <w:color w:val="000000"/>
          <w:sz w:val="28"/>
          <w:szCs w:val="28"/>
        </w:rPr>
        <w:t>县级</w:t>
      </w:r>
      <w:r>
        <w:rPr>
          <w:rFonts w:ascii="Times New Roman" w:hAnsi="Times New Roman" w:eastAsia="仿宋" w:cs="Times New Roman"/>
          <w:color w:val="000000"/>
          <w:sz w:val="28"/>
          <w:szCs w:val="28"/>
        </w:rPr>
        <w:t>各有关部门、各</w:t>
      </w:r>
      <w:r>
        <w:rPr>
          <w:rFonts w:hint="eastAsia" w:ascii="Times New Roman" w:hAnsi="Times New Roman" w:eastAsia="仿宋" w:cs="Times New Roman"/>
          <w:color w:val="000000"/>
          <w:sz w:val="28"/>
          <w:szCs w:val="28"/>
        </w:rPr>
        <w:t>乡镇</w:t>
      </w:r>
      <w:r>
        <w:rPr>
          <w:rFonts w:ascii="Times New Roman" w:hAnsi="Times New Roman" w:eastAsia="仿宋" w:cs="Times New Roman"/>
          <w:color w:val="000000"/>
          <w:sz w:val="28"/>
          <w:szCs w:val="28"/>
        </w:rPr>
        <w:t>政府及其有关部门、各有关单位职责分工。</w:t>
      </w:r>
      <w:r>
        <w:rPr>
          <w:rFonts w:hint="eastAsia" w:ascii="Times New Roman" w:hAnsi="Times New Roman" w:eastAsia="仿宋" w:cs="Times New Roman"/>
          <w:color w:val="000000"/>
          <w:sz w:val="28"/>
          <w:szCs w:val="28"/>
        </w:rPr>
        <w:t>县</w:t>
      </w:r>
      <w:r>
        <w:rPr>
          <w:rFonts w:ascii="Times New Roman" w:hAnsi="Times New Roman" w:eastAsia="仿宋" w:cs="Times New Roman"/>
          <w:color w:val="000000"/>
          <w:sz w:val="28"/>
          <w:szCs w:val="28"/>
        </w:rPr>
        <w:t>政府对各地重污染天气应对工作进行督导检查并组织协调区域重污染天气的预测预警和联防联控工作。</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(3)科学预警，及时响应。做好空气质量和气象条件日常 监测监控，及时把握大气环境质量变化趋势，建立健全</w:t>
      </w:r>
      <w:r>
        <w:rPr>
          <w:rFonts w:hint="eastAsia" w:ascii="Times New Roman" w:hAnsi="Times New Roman" w:eastAsia="仿宋" w:cs="Times New Roman"/>
          <w:color w:val="000000"/>
          <w:sz w:val="28"/>
          <w:szCs w:val="28"/>
        </w:rPr>
        <w:t>全县</w:t>
      </w:r>
      <w:r>
        <w:rPr>
          <w:rFonts w:ascii="Times New Roman" w:hAnsi="Times New Roman" w:eastAsia="仿宋" w:cs="Times New Roman"/>
          <w:color w:val="000000"/>
          <w:sz w:val="28"/>
          <w:szCs w:val="28"/>
        </w:rPr>
        <w:t>环境空气重污染监测预警机制，开展会商研判、应急响应、督查 调度、跟踪评估，积极有效应对重污染天气。</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(4)分级管控，精准减排。积极实施差异化管控措施，动态更新重污染天气应急减排清单，实现重点行业绩效分级管理，确保同一区域、同一行业内，同等绩效水平的企业减排措施相 对一致，推动行业治理水平整体提升，促进经济高质量发展。</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(5)部门联动，社会参与。加强各有关部门协调联动，建 立健全信息共享机制，协同做好重污染天气应对工作。进一步 完善信息公开制度，及时准确发布空气质量监测和预警相关信 息，加强宣传引导，提高公众自我防护意识和参与意识。</w:t>
      </w: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tabs>
          <w:tab w:val="left" w:pos="5070"/>
        </w:tabs>
        <w:spacing w:line="360" w:lineRule="auto"/>
        <w:ind w:firstLine="560" w:firstLineChars="200"/>
        <w:rPr>
          <w:rFonts w:ascii="Times New Roman" w:hAnsi="Times New Roman" w:eastAsia="仿宋" w:cs="Times New Roman"/>
          <w:sz w:val="28"/>
          <w:szCs w:val="28"/>
        </w:rPr>
      </w:pPr>
    </w:p>
    <w:p>
      <w:pPr>
        <w:pStyle w:val="25"/>
        <w:rPr>
          <w:rFonts w:eastAsia="仿宋"/>
          <w:color w:val="auto"/>
        </w:rPr>
      </w:pPr>
      <w:bookmarkStart w:id="11" w:name="_Toc127188295"/>
      <w:r>
        <w:rPr>
          <w:rFonts w:eastAsia="仿宋"/>
          <w:color w:val="auto"/>
        </w:rPr>
        <w:t>2 组织</w:t>
      </w:r>
      <w:r>
        <w:rPr>
          <w:rFonts w:hint="eastAsia" w:eastAsia="仿宋"/>
          <w:color w:val="auto"/>
        </w:rPr>
        <w:t>机构与职责</w:t>
      </w:r>
      <w:bookmarkEnd w:id="11"/>
    </w:p>
    <w:p>
      <w:pPr>
        <w:spacing w:line="560" w:lineRule="exact"/>
        <w:ind w:firstLine="56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通城县重污染天气应急指挥体系由通城县</w:t>
      </w:r>
      <w:r>
        <w:rPr>
          <w:rFonts w:hint="eastAsia" w:ascii="仿宋_GB2312" w:hAnsi="仿宋_GB2312" w:eastAsia="仿宋_GB2312" w:cs="仿宋_GB2312"/>
          <w:sz w:val="30"/>
          <w:szCs w:val="30"/>
        </w:rPr>
        <w:t>重污染天气应急指挥部、通城县重污染天气应急指挥部办公室、通城县重污染天气应急工作组及成员单位共同组成。</w:t>
      </w:r>
    </w:p>
    <w:p>
      <w:pPr>
        <w:pStyle w:val="27"/>
        <w:ind w:firstLine="161"/>
        <w:rPr>
          <w:rFonts w:eastAsia="仿宋" w:cs="Times New Roman"/>
        </w:rPr>
      </w:pPr>
      <w:bookmarkStart w:id="12" w:name="_Toc529367576"/>
      <w:bookmarkStart w:id="13" w:name="_Toc127188296"/>
      <w:r>
        <w:rPr>
          <w:rFonts w:eastAsia="仿宋" w:cs="Times New Roman"/>
        </w:rPr>
        <w:t xml:space="preserve">2.1 </w:t>
      </w:r>
      <w:bookmarkEnd w:id="12"/>
      <w:r>
        <w:rPr>
          <w:rFonts w:eastAsia="仿宋" w:cs="Times New Roman"/>
        </w:rPr>
        <w:t>县重污染天气应急指挥部</w:t>
      </w:r>
      <w:bookmarkEnd w:id="13"/>
    </w:p>
    <w:p>
      <w:pPr>
        <w:spacing w:line="560" w:lineRule="exact"/>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成立通城县重污染天气应急指挥部（以下简称指挥部），指挥长由县长担任，副指挥长由分管生态环境工作副县长担任，县各有关部门为重污染天气应急指挥部成员单位。</w:t>
      </w:r>
    </w:p>
    <w:p>
      <w:pPr>
        <w:spacing w:line="560" w:lineRule="exact"/>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主要职责：贯彻落实中央、省、市对重污染天气应急工作的决策部署，领导、组织、协调全县重污染天气预测预警、应急响应、检查评估等工作，全面负责重污染天气应急处置工作。</w:t>
      </w:r>
    </w:p>
    <w:p>
      <w:pPr>
        <w:pStyle w:val="27"/>
        <w:ind w:firstLine="161"/>
        <w:rPr>
          <w:rFonts w:eastAsia="仿宋" w:cs="Times New Roman"/>
        </w:rPr>
      </w:pPr>
      <w:bookmarkStart w:id="14" w:name="_Toc529367579"/>
      <w:bookmarkStart w:id="15" w:name="_Toc127188297"/>
      <w:r>
        <w:rPr>
          <w:rFonts w:eastAsia="仿宋" w:cs="Times New Roman"/>
        </w:rPr>
        <w:t xml:space="preserve">2.2 </w:t>
      </w:r>
      <w:bookmarkEnd w:id="14"/>
      <w:r>
        <w:rPr>
          <w:rFonts w:eastAsia="仿宋" w:cs="Times New Roman"/>
        </w:rPr>
        <w:t>县重污染天气应急指挥部办公室</w:t>
      </w:r>
      <w:bookmarkEnd w:id="15"/>
    </w:p>
    <w:p>
      <w:pPr>
        <w:spacing w:line="560" w:lineRule="exact"/>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通城县重污染天气应急指挥部办公室（以下简称指挥部办公室）设在咸宁市生态环境局通城县分局，指挥部办公室主任由咸宁市生态环境局通城县分局主要负责同志兼任，指挥部各成员单位明确</w:t>
      </w:r>
      <w:r>
        <w:rPr>
          <w:rFonts w:ascii="Times New Roman" w:hAnsi="Times New Roman" w:eastAsia="仿宋" w:cs="Times New Roman"/>
          <w:sz w:val="28"/>
          <w:szCs w:val="28"/>
        </w:rPr>
        <w:t>1名联络员为办公室成员。</w:t>
      </w:r>
    </w:p>
    <w:p>
      <w:pPr>
        <w:spacing w:line="560" w:lineRule="exact"/>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主要职责：负责编制（修订）县重污染天气应急预案，组建重污染天气应急专家组、监测预警组、督导考核组、宣传报道组、后勤保障组，建立重污染天气应急减排清单，组织重污染天气预案宣传、培训，对重污染天气形势进行分析、会商，上报和发布重污染天气预警信息，组织协调重污染天气应急处置工作，对重污染天气应对工作进行分析、总结、评估、监督和管理，承担指挥部交办的其他工作。</w:t>
      </w:r>
    </w:p>
    <w:p>
      <w:pPr>
        <w:pStyle w:val="27"/>
        <w:ind w:firstLine="161"/>
        <w:rPr>
          <w:rFonts w:eastAsia="仿宋" w:cs="Times New Roman"/>
        </w:rPr>
      </w:pPr>
      <w:bookmarkStart w:id="16" w:name="_Toc127188298"/>
      <w:bookmarkStart w:id="17" w:name="_Toc529367581"/>
      <w:r>
        <w:rPr>
          <w:rFonts w:eastAsia="仿宋" w:cs="Times New Roman"/>
        </w:rPr>
        <w:t xml:space="preserve">2.3 </w:t>
      </w:r>
      <w:r>
        <w:rPr>
          <w:rFonts w:hint="eastAsia" w:eastAsia="仿宋" w:cs="Times New Roman"/>
        </w:rPr>
        <w:t>通城县重污染天气应急工作组</w:t>
      </w:r>
      <w:bookmarkEnd w:id="16"/>
    </w:p>
    <w:p>
      <w:pPr>
        <w:spacing w:line="560" w:lineRule="exact"/>
        <w:ind w:firstLine="56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指挥部办公室设立重污染天气应急工作组，由监测预警组、应急督导组、应急专家组、宣传报道组和后勤保障组</w:t>
      </w:r>
      <w:r>
        <w:rPr>
          <w:rFonts w:ascii="Times New Roman" w:hAnsi="Times New Roman" w:eastAsia="仿宋" w:cs="Times New Roman"/>
          <w:color w:val="000000"/>
          <w:sz w:val="28"/>
          <w:szCs w:val="28"/>
        </w:rPr>
        <w:t>5个工作组组成，负责指导、督促开展应急处置等工作。</w:t>
      </w:r>
    </w:p>
    <w:p>
      <w:pPr>
        <w:spacing w:line="52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监测预警组</w:t>
      </w:r>
      <w:r>
        <w:rPr>
          <w:rFonts w:hint="eastAsia" w:ascii="仿宋_GB2312" w:hAnsi="仿宋_GB2312" w:eastAsia="仿宋_GB2312" w:cs="仿宋_GB2312"/>
          <w:sz w:val="30"/>
          <w:szCs w:val="30"/>
        </w:rPr>
        <w:t>：由咸宁市生态环境局通城县分局统筹协调，负责制定重污染天气空气质量监测、预报、预警工作方案，结合环境空气质量预测变化趋势，提出预警及应对建议。向指挥部提供监测、预报、预警数据信息，根据指挥部统一调度实施预警，跟踪分析预警反馈信息。负责指挥部办公室交办的其他工作。</w:t>
      </w:r>
    </w:p>
    <w:p>
      <w:pPr>
        <w:spacing w:line="520" w:lineRule="exact"/>
        <w:ind w:firstLine="602" w:firstLineChars="200"/>
        <w:rPr>
          <w:rFonts w:ascii="仿宋_GB2312" w:hAnsi="仿宋_GB2312" w:eastAsia="仿宋_GB2312" w:cs="仿宋_GB2312"/>
          <w:b/>
          <w:bCs/>
          <w:color w:val="00B0F0"/>
          <w:sz w:val="30"/>
          <w:szCs w:val="30"/>
        </w:rPr>
      </w:pPr>
      <w:r>
        <w:rPr>
          <w:rFonts w:hint="eastAsia" w:ascii="仿宋_GB2312" w:hAnsi="仿宋_GB2312" w:eastAsia="仿宋_GB2312" w:cs="仿宋_GB2312"/>
          <w:b/>
          <w:bCs/>
          <w:sz w:val="30"/>
          <w:szCs w:val="30"/>
        </w:rPr>
        <w:t>应急督导组</w:t>
      </w:r>
      <w:r>
        <w:rPr>
          <w:rFonts w:hint="eastAsia" w:ascii="仿宋_GB2312" w:hAnsi="仿宋_GB2312" w:eastAsia="仿宋_GB2312" w:cs="仿宋_GB2312"/>
          <w:sz w:val="30"/>
          <w:szCs w:val="30"/>
        </w:rPr>
        <w:t>：由通城县政府督查室负责对各有关部门重污染天气应急准备、监测、预警、响应等职责落实情况进行监督考核，及时通报有关情况并向县纪委监委移交问题线索。</w:t>
      </w:r>
    </w:p>
    <w:p>
      <w:pPr>
        <w:spacing w:line="52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应急专家组</w:t>
      </w:r>
      <w:r>
        <w:rPr>
          <w:rFonts w:hint="eastAsia" w:ascii="仿宋_GB2312" w:hAnsi="仿宋_GB2312" w:eastAsia="仿宋_GB2312" w:cs="仿宋_GB2312"/>
          <w:sz w:val="30"/>
          <w:szCs w:val="30"/>
        </w:rPr>
        <w:t>：由指挥部办公室负责组建和联系，建立专家会商机制，参与重污染天气专家会商、分析、预警、响应、总结评估，负责开展重污染天气成因调查、应急效果评估及损害调查评估等工作，为重污染天气应对工作提供技术支撑。负责指挥部办公室交办的其他工作。</w:t>
      </w:r>
    </w:p>
    <w:p>
      <w:pPr>
        <w:spacing w:line="52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宣传报道组</w:t>
      </w:r>
      <w:r>
        <w:rPr>
          <w:rFonts w:hint="eastAsia" w:ascii="仿宋_GB2312" w:hAnsi="仿宋_GB2312" w:eastAsia="仿宋_GB2312" w:cs="仿宋_GB2312"/>
          <w:sz w:val="30"/>
          <w:szCs w:val="30"/>
        </w:rPr>
        <w:t>：由通城县委宣传部统筹，咸宁市生态环境局通城县分局等相关成员单位密切配合，负责重污染天气发生时信息公开、新闻宣传、政策解读等工作，及时做好舆情引导和应对工作，并根据需要组织召开新闻发布会。</w:t>
      </w:r>
    </w:p>
    <w:p>
      <w:pPr>
        <w:spacing w:line="560" w:lineRule="exact"/>
        <w:ind w:firstLine="560"/>
        <w:rPr>
          <w:rFonts w:ascii="Times New Roman" w:hAnsi="Times New Roman" w:eastAsia="仿宋" w:cs="Times New Roman"/>
          <w:color w:val="000000"/>
          <w:sz w:val="28"/>
          <w:szCs w:val="28"/>
        </w:rPr>
      </w:pPr>
      <w:r>
        <w:rPr>
          <w:rFonts w:hint="eastAsia" w:ascii="仿宋_GB2312" w:hAnsi="仿宋_GB2312" w:eastAsia="仿宋_GB2312" w:cs="仿宋_GB2312"/>
          <w:b/>
          <w:bCs/>
          <w:sz w:val="30"/>
          <w:szCs w:val="30"/>
        </w:rPr>
        <w:t>后勤保障组</w:t>
      </w:r>
      <w:r>
        <w:rPr>
          <w:rFonts w:hint="eastAsia" w:ascii="仿宋_GB2312" w:hAnsi="仿宋_GB2312" w:eastAsia="仿宋_GB2312" w:cs="仿宋_GB2312"/>
          <w:sz w:val="30"/>
          <w:szCs w:val="30"/>
        </w:rPr>
        <w:t>：由通城县财政局统筹，各相关成员单位全力支持、配合，负责协调落实重污染天气预案编制（修订）、重污染天气应对所需的人力资源、资金、物资装备等应对保障工作。</w:t>
      </w:r>
    </w:p>
    <w:p>
      <w:pPr>
        <w:pStyle w:val="27"/>
        <w:ind w:firstLine="161"/>
        <w:rPr>
          <w:rFonts w:eastAsia="仿宋" w:cs="Times New Roman"/>
        </w:rPr>
      </w:pPr>
      <w:bookmarkStart w:id="18" w:name="_Toc127188299"/>
      <w:r>
        <w:rPr>
          <w:rFonts w:eastAsia="仿宋" w:cs="Times New Roman"/>
        </w:rPr>
        <w:t xml:space="preserve">2.4 </w:t>
      </w:r>
      <w:bookmarkEnd w:id="17"/>
      <w:r>
        <w:rPr>
          <w:rFonts w:hint="eastAsia" w:eastAsia="仿宋" w:cs="Times New Roman"/>
        </w:rPr>
        <w:t>通城县重污染天气应急指挥部成员单位</w:t>
      </w:r>
      <w:bookmarkEnd w:id="18"/>
    </w:p>
    <w:p>
      <w:pPr>
        <w:spacing w:line="560" w:lineRule="exact"/>
        <w:ind w:firstLine="56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成员单位：县委宣传部、县政府督查室、各（乡）镇人民政府、通城县经济开发区管理委员会、县发展和改革局、县教育局、</w:t>
      </w:r>
      <w:r>
        <w:rPr>
          <w:rFonts w:hint="eastAsia" w:ascii="Times New Roman" w:hAnsi="Times New Roman" w:eastAsia="仿宋" w:cs="Times New Roman"/>
          <w:sz w:val="28"/>
          <w:szCs w:val="28"/>
        </w:rPr>
        <w:t>通城县公安局</w:t>
      </w:r>
      <w:r>
        <w:rPr>
          <w:rFonts w:hint="eastAsia" w:ascii="Times New Roman" w:hAnsi="Times New Roman" w:eastAsia="仿宋" w:cs="Times New Roman"/>
          <w:color w:val="000000"/>
          <w:sz w:val="28"/>
          <w:szCs w:val="28"/>
        </w:rPr>
        <w:t>、县财政局、县自然资源和规划局、咸宁市生态环境局通城县分局、县住房和城乡建设局、县交通运输局、县水利和湖泊局、县农业农村局、县商务局、县文化和旅游局、县卫生健康局、县应急管理局、县市场监督管理局、县城管执法局、县科学技术和经济信息化局、县国有资产监督管理局、国网湖北省电力有限公司咸宁市通城县供电公司。</w:t>
      </w:r>
    </w:p>
    <w:p>
      <w:pPr>
        <w:spacing w:line="52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成员单位职责具体如下：</w:t>
      </w:r>
    </w:p>
    <w:p>
      <w:pPr>
        <w:spacing w:line="52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县委宣传部：</w:t>
      </w:r>
      <w:r>
        <w:rPr>
          <w:rFonts w:hint="eastAsia" w:ascii="仿宋_GB2312" w:hAnsi="仿宋_GB2312" w:eastAsia="仿宋_GB2312" w:cs="仿宋_GB2312"/>
          <w:sz w:val="30"/>
          <w:szCs w:val="30"/>
        </w:rPr>
        <w:t>负责制定重污染天气新闻信息发布应急实施方案并组织落实，协调各级新闻媒体做好重污染天气预警及响应信息发布、新闻宣传报道和舆论引导工作。</w:t>
      </w:r>
    </w:p>
    <w:p>
      <w:pPr>
        <w:spacing w:line="52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县政府督查室：</w:t>
      </w:r>
      <w:r>
        <w:rPr>
          <w:rFonts w:hint="eastAsia" w:ascii="仿宋_GB2312" w:hAnsi="仿宋_GB2312" w:eastAsia="仿宋_GB2312" w:cs="仿宋_GB2312"/>
          <w:sz w:val="30"/>
          <w:szCs w:val="30"/>
        </w:rPr>
        <w:t>负责制定重污染天气应急处置督察实施方案，监督检查各成员单位的应急准备、预警、响应等工作，对措施落实不到位的单位和人员进行通报并向县纪委监委移交问题线索。</w:t>
      </w:r>
    </w:p>
    <w:p>
      <w:pPr>
        <w:pStyle w:val="38"/>
        <w:spacing w:line="520" w:lineRule="exact"/>
        <w:ind w:firstLine="602" w:firstLineChars="200"/>
        <w:rPr>
          <w:rFonts w:ascii="仿宋_GB2312" w:hAnsi="仿宋_GB2312" w:eastAsia="仿宋_GB2312" w:cs="仿宋_GB2312"/>
          <w:color w:val="auto"/>
          <w:sz w:val="30"/>
          <w:szCs w:val="30"/>
        </w:rPr>
      </w:pPr>
      <w:r>
        <w:rPr>
          <w:rFonts w:hint="eastAsia" w:ascii="仿宋_GB2312" w:hAnsi="仿宋_GB2312" w:eastAsia="仿宋_GB2312" w:cs="仿宋_GB2312"/>
          <w:b/>
          <w:bCs/>
          <w:color w:val="auto"/>
          <w:kern w:val="2"/>
          <w:sz w:val="30"/>
          <w:szCs w:val="30"/>
        </w:rPr>
        <w:t>各（乡）镇人民政府、通城县经济开发区管理委员会</w:t>
      </w: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sz w:val="30"/>
          <w:szCs w:val="30"/>
        </w:rPr>
        <w:t>制定本区域重污染天气应急</w:t>
      </w:r>
      <w:r>
        <w:rPr>
          <w:rFonts w:hint="eastAsia" w:ascii="仿宋_GB2312" w:hAnsi="仿宋_GB2312" w:eastAsia="仿宋_GB2312" w:cs="仿宋_GB2312"/>
          <w:sz w:val="30"/>
          <w:szCs w:val="30"/>
        </w:rPr>
        <w:t>实施方案</w:t>
      </w:r>
      <w:r>
        <w:rPr>
          <w:rFonts w:hint="eastAsia" w:ascii="仿宋_GB2312" w:hAnsi="仿宋_GB2312" w:eastAsia="仿宋_GB2312" w:cs="仿宋_GB2312"/>
          <w:color w:val="auto"/>
          <w:sz w:val="30"/>
          <w:szCs w:val="30"/>
        </w:rPr>
        <w:t>，负责组织实施本区域重污染天气各项应对措施的落实及督查工作；负责向指挥部办公室报告区域应急响应启动及执行情况；负责组织区域内居民做好重污染天气下的各种健康防护措施；负责农作物秸秆禁烧工作，组织引导开展秸秆综合利用。</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发展和改革局：</w:t>
      </w:r>
      <w:r>
        <w:rPr>
          <w:rFonts w:hint="eastAsia" w:ascii="仿宋_GB2312" w:hAnsi="仿宋_GB2312" w:eastAsia="仿宋_GB2312" w:cs="仿宋_GB2312"/>
          <w:color w:val="auto"/>
          <w:kern w:val="2"/>
          <w:sz w:val="30"/>
          <w:szCs w:val="30"/>
        </w:rPr>
        <w:t>负责制定重污染天气部门应急实施方案，协调重污染天气期间电力调度工作；组织电力企业编制和落实重污染天气应急实施方案；检查、督办电力行业企业重污染天气限产、限排等措施落实情况。</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教育局：</w:t>
      </w:r>
      <w:r>
        <w:rPr>
          <w:rFonts w:hint="eastAsia" w:ascii="仿宋_GB2312" w:hAnsi="仿宋_GB2312" w:eastAsia="仿宋_GB2312" w:cs="仿宋_GB2312"/>
          <w:color w:val="auto"/>
          <w:kern w:val="2"/>
          <w:sz w:val="30"/>
          <w:szCs w:val="30"/>
        </w:rPr>
        <w:t>负责制定教育系统重污染天气应急实施方案并组织落实；督导幼儿园、小学、中学及同等学历学校做好重污染天气期间健康防护、宣传教育工作。</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财政局：</w:t>
      </w:r>
      <w:r>
        <w:rPr>
          <w:rFonts w:hint="eastAsia" w:ascii="仿宋_GB2312" w:hAnsi="仿宋_GB2312" w:eastAsia="仿宋_GB2312" w:cs="仿宋_GB2312"/>
          <w:color w:val="auto"/>
          <w:kern w:val="2"/>
          <w:sz w:val="30"/>
          <w:szCs w:val="30"/>
        </w:rPr>
        <w:t>负责重污染天气应对工作经费保障，确保预案编制（修订）、监测预警、应急响应、监督检查等工作经费的落实，加强预算绩效管理，做好经费使用的监督检查。</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自然资源和规划局：</w:t>
      </w:r>
      <w:r>
        <w:rPr>
          <w:rFonts w:hint="eastAsia" w:ascii="仿宋_GB2312" w:hAnsi="仿宋_GB2312" w:eastAsia="仿宋_GB2312" w:cs="仿宋_GB2312"/>
          <w:color w:val="auto"/>
          <w:kern w:val="2"/>
          <w:sz w:val="30"/>
          <w:szCs w:val="30"/>
        </w:rPr>
        <w:t>负责编制本部门重污染天气应急实施方案并组织落实，会同相关职能部门指导和监督全县</w:t>
      </w:r>
      <w:r>
        <w:rPr>
          <w:rFonts w:hint="eastAsia" w:ascii="仿宋_GB2312" w:hAnsi="仿宋_GB2312" w:eastAsia="仿宋_GB2312" w:cs="仿宋_GB2312"/>
          <w:sz w:val="30"/>
          <w:szCs w:val="30"/>
        </w:rPr>
        <w:t>露天矿山、砖瓦窑、砂石场</w:t>
      </w:r>
      <w:r>
        <w:rPr>
          <w:rFonts w:hint="eastAsia" w:ascii="仿宋_GB2312" w:hAnsi="仿宋_GB2312" w:eastAsia="仿宋_GB2312" w:cs="仿宋_GB2312"/>
          <w:color w:val="auto"/>
          <w:kern w:val="2"/>
          <w:sz w:val="30"/>
          <w:szCs w:val="30"/>
        </w:rPr>
        <w:t>落实重污染天气期间强制性减排措施和运输管控要求。会同相关职能部门加强各类储备用地</w:t>
      </w:r>
      <w:r>
        <w:rPr>
          <w:rFonts w:hint="eastAsia" w:ascii="仿宋_GB2312" w:hAnsi="仿宋_GB2312" w:eastAsia="仿宋_GB2312" w:cs="仿宋_GB2312"/>
          <w:sz w:val="30"/>
          <w:szCs w:val="30"/>
        </w:rPr>
        <w:t>、已出让的开发建设用地的</w:t>
      </w:r>
      <w:r>
        <w:rPr>
          <w:rFonts w:hint="eastAsia" w:ascii="仿宋_GB2312" w:hAnsi="仿宋_GB2312" w:eastAsia="仿宋_GB2312" w:cs="仿宋_GB2312"/>
          <w:color w:val="auto"/>
          <w:kern w:val="2"/>
          <w:sz w:val="30"/>
          <w:szCs w:val="30"/>
        </w:rPr>
        <w:t>扬尘污染管控，并对落实情况进行监督检查。</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color w:val="auto"/>
          <w:kern w:val="2"/>
          <w:sz w:val="30"/>
          <w:szCs w:val="30"/>
        </w:rPr>
        <w:t>咸宁市生态环境局通城县分局：</w:t>
      </w:r>
      <w:r>
        <w:rPr>
          <w:rFonts w:hint="eastAsia" w:ascii="仿宋_GB2312" w:hAnsi="仿宋_GB2312" w:eastAsia="仿宋_GB2312" w:cs="仿宋_GB2312"/>
          <w:color w:val="auto"/>
          <w:kern w:val="2"/>
          <w:sz w:val="30"/>
          <w:szCs w:val="30"/>
        </w:rPr>
        <w:t>承担指挥部办公室职责；</w:t>
      </w:r>
      <w:r>
        <w:rPr>
          <w:rFonts w:hint="eastAsia" w:ascii="仿宋_GB2312" w:hAnsi="仿宋_GB2312" w:eastAsia="仿宋_GB2312" w:cs="仿宋_GB2312"/>
          <w:sz w:val="30"/>
          <w:szCs w:val="30"/>
        </w:rPr>
        <w:t>负责编制本部门重污染天气应急实施方案并组织落实；</w:t>
      </w:r>
      <w:r>
        <w:rPr>
          <w:rFonts w:hint="eastAsia" w:ascii="仿宋_GB2312" w:hAnsi="仿宋_GB2312" w:eastAsia="仿宋_GB2312" w:cs="仿宋_GB2312"/>
          <w:color w:val="auto"/>
          <w:kern w:val="2"/>
          <w:sz w:val="30"/>
          <w:szCs w:val="30"/>
        </w:rPr>
        <w:t>负责重污染天气应急预案编制（修订）；负责重污染天气应对工作统筹协调；负责对接气象部门做好大气环境气象条件监测、预报工作，联合开展环境空气质量预报、预警并完善监测预警体系，必要时组织、指导开展人工影响天气作业；督导企业制定并落实重污染天气“一厂一策”，实施应急减排清单式管理；协调相关部门开展机动车维修业废气治理设施运行情况监督检查；会同发改、经信等部门落实污染物应急减排措施，对重污染天气期间应急措施落实情况开展监督检查；会同商务部门加强对储油储气库、加油加气站和油罐车、气罐车等油气回收设施运行的监管；会同交通运输、住房和城乡建设、农业农村、水利和湖泊等主管部门加强对非道路移动机械的监管，协同住房和城乡建设部门开展建筑施工工地、城市道路扬尘控制的监督检查；会同公安部门开展机动车路检路查工作；负责督促、指导、检查重污染天气期间农作物秸秆禁烧工作。</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住房和城乡建设局：</w:t>
      </w:r>
      <w:r>
        <w:rPr>
          <w:rFonts w:hint="eastAsia" w:ascii="仿宋_GB2312" w:hAnsi="仿宋_GB2312" w:eastAsia="仿宋_GB2312" w:cs="仿宋_GB2312"/>
          <w:color w:val="auto"/>
          <w:kern w:val="2"/>
          <w:sz w:val="30"/>
          <w:szCs w:val="30"/>
        </w:rPr>
        <w:t>负责编制本部门重污染天气应急实施方案并组织落实；负责提供重污染天气期间建筑施工工地扬尘管控清单；负责重污染天气期间对已办理施工许可证的房屋建筑和市政基础设施工程施工工地和建筑施工机械进行监督管理，按照不同预警等级加强施工扬尘污染管控；负责协调重污染天气期间天然气调度。</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交通运输局：</w:t>
      </w:r>
      <w:r>
        <w:rPr>
          <w:rFonts w:hint="eastAsia" w:ascii="仿宋_GB2312" w:hAnsi="仿宋_GB2312" w:eastAsia="仿宋_GB2312" w:cs="仿宋_GB2312"/>
          <w:color w:val="auto"/>
          <w:kern w:val="2"/>
          <w:sz w:val="30"/>
          <w:szCs w:val="30"/>
        </w:rPr>
        <w:t>制定重污染天气公路施工和养护扬尘污染控制、营运车辆和船舶大气污染控制、公共交通运力等应急实施方案，并对落实情况开展监督检查；负责重污染天气期间道路施工机械污染管控并开展监督检查；会同相关部门落实大宗物料运输物流企业错峰运输管控措施；配合生态环境部门开展机动车维修业废气治理设施运行情况监督检查。</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水利和湖泊局：</w:t>
      </w:r>
      <w:r>
        <w:rPr>
          <w:rFonts w:hint="eastAsia" w:ascii="仿宋_GB2312" w:hAnsi="仿宋_GB2312" w:eastAsia="仿宋_GB2312" w:cs="仿宋_GB2312"/>
          <w:color w:val="auto"/>
          <w:kern w:val="2"/>
          <w:sz w:val="30"/>
          <w:szCs w:val="30"/>
        </w:rPr>
        <w:t>负责制定部门重污染天气应急实施方案并组织实施；负责水利工程扬尘监管和施工机械污染管控。</w:t>
      </w:r>
    </w:p>
    <w:p>
      <w:pPr>
        <w:pStyle w:val="38"/>
        <w:spacing w:line="520" w:lineRule="exact"/>
        <w:ind w:firstLine="602" w:firstLineChars="200"/>
        <w:rPr>
          <w:rFonts w:ascii="仿宋_GB2312" w:hAnsi="仿宋_GB2312" w:eastAsia="仿宋_GB2312" w:cs="仿宋_GB2312"/>
          <w:b/>
          <w:bCs/>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农业农村局：</w:t>
      </w:r>
      <w:r>
        <w:rPr>
          <w:rFonts w:hint="eastAsia" w:ascii="仿宋_GB2312" w:hAnsi="仿宋_GB2312" w:eastAsia="仿宋_GB2312" w:cs="仿宋_GB2312"/>
          <w:color w:val="auto"/>
          <w:kern w:val="2"/>
          <w:sz w:val="30"/>
          <w:szCs w:val="30"/>
        </w:rPr>
        <w:t>负责制定部门重污染天气应急实施方案并组织实施；负责制定重污染天气期间秸秆综合利用等与环境整治相关的大气污染控制应急实施方案；负责指导农作物秸秆综合利用，加强秸秆综合利用技术的应用推广；负责重污染天气期间农业机械污染管控。</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商务局：</w:t>
      </w:r>
      <w:r>
        <w:rPr>
          <w:rFonts w:hint="eastAsia" w:ascii="仿宋_GB2312" w:hAnsi="仿宋_GB2312" w:eastAsia="仿宋_GB2312" w:cs="仿宋_GB2312"/>
          <w:sz w:val="30"/>
          <w:szCs w:val="30"/>
        </w:rPr>
        <w:t>负责编制本部门重污染天气应急实施方案并组织落实；</w:t>
      </w:r>
      <w:r>
        <w:rPr>
          <w:rFonts w:hint="eastAsia" w:ascii="仿宋_GB2312" w:hAnsi="仿宋_GB2312" w:eastAsia="仿宋_GB2312" w:cs="仿宋_GB2312"/>
          <w:color w:val="auto"/>
          <w:kern w:val="2"/>
          <w:sz w:val="30"/>
          <w:szCs w:val="30"/>
        </w:rPr>
        <w:t>负责协调重污染天气期间煤炭、成品油调度；规范废品回收、报废机动车拆解等行业大气污染防治工作；协调报废机动车回收拆解企业做好老旧机动车淘汰工作；配合市场监督管理部门开展打击生产、销售非标车用燃料等专项行动；配合生态环境部门开展储油储气库、加油加气站和油罐车、气罐车等油气回收设施运行情况的监管工作。</w:t>
      </w:r>
    </w:p>
    <w:p>
      <w:pPr>
        <w:pStyle w:val="38"/>
        <w:spacing w:line="520" w:lineRule="exact"/>
        <w:ind w:firstLine="602" w:firstLineChars="200"/>
        <w:rPr>
          <w:rFonts w:ascii="仿宋_GB2312" w:hAnsi="仿宋_GB2312" w:eastAsia="仿宋_GB2312" w:cs="仿宋_GB2312"/>
          <w:color w:val="FF0000"/>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文化和旅游局：</w:t>
      </w:r>
      <w:r>
        <w:rPr>
          <w:rFonts w:hint="eastAsia" w:ascii="仿宋_GB2312" w:hAnsi="仿宋_GB2312" w:eastAsia="仿宋_GB2312" w:cs="仿宋_GB2312"/>
          <w:sz w:val="30"/>
          <w:szCs w:val="30"/>
        </w:rPr>
        <w:t>负责编制本部门重污染天气应急实施方案并组织落实；</w:t>
      </w:r>
      <w:r>
        <w:rPr>
          <w:rFonts w:hint="eastAsia" w:ascii="仿宋_GB2312" w:hAnsi="仿宋_GB2312" w:eastAsia="仿宋_GB2312" w:cs="仿宋_GB2312"/>
          <w:color w:val="auto"/>
          <w:kern w:val="2"/>
          <w:sz w:val="30"/>
          <w:szCs w:val="30"/>
        </w:rPr>
        <w:t>督促指导群众性户外体育赛事和旅游景区做好重污染天气应急响应工作；配合市委宣传部开展重污染天气宣传工作，指导广播、电视、互联网等媒体向公众发布重污染天气预警和应对信息。</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卫生健康局：</w:t>
      </w:r>
      <w:r>
        <w:rPr>
          <w:rFonts w:hint="eastAsia" w:ascii="仿宋_GB2312" w:hAnsi="仿宋_GB2312" w:eastAsia="仿宋_GB2312" w:cs="仿宋_GB2312"/>
          <w:sz w:val="30"/>
          <w:szCs w:val="30"/>
        </w:rPr>
        <w:t>负责编制本部门重污染天气应急实施方案并组织落实；</w:t>
      </w:r>
      <w:r>
        <w:rPr>
          <w:rFonts w:hint="eastAsia" w:ascii="仿宋_GB2312" w:hAnsi="仿宋_GB2312" w:eastAsia="仿宋_GB2312" w:cs="仿宋_GB2312"/>
          <w:color w:val="auto"/>
          <w:kern w:val="2"/>
          <w:sz w:val="30"/>
          <w:szCs w:val="30"/>
        </w:rPr>
        <w:t>开展重污染天气健康防护相关知识宣传，对重污染天气引发的突发公共卫生事件，负责组织、协调卫生防护和医疗救治，做好重污染天气应急期间相关疾病</w:t>
      </w:r>
      <w:r>
        <w:rPr>
          <w:rFonts w:ascii="仿宋_GB2312" w:hAnsi="仿宋_GB2312" w:eastAsia="仿宋_GB2312" w:cs="仿宋_GB2312"/>
          <w:color w:val="auto"/>
          <w:kern w:val="2"/>
          <w:sz w:val="30"/>
          <w:szCs w:val="30"/>
        </w:rPr>
        <w:t>24</w:t>
      </w:r>
      <w:r>
        <w:rPr>
          <w:rFonts w:hint="eastAsia" w:ascii="仿宋_GB2312" w:hAnsi="仿宋_GB2312" w:eastAsia="仿宋_GB2312" w:cs="仿宋_GB2312"/>
          <w:color w:val="auto"/>
          <w:kern w:val="2"/>
          <w:sz w:val="30"/>
          <w:szCs w:val="30"/>
        </w:rPr>
        <w:t>小时急（门）诊的监管工作。</w:t>
      </w:r>
    </w:p>
    <w:p>
      <w:pPr>
        <w:pStyle w:val="38"/>
        <w:spacing w:line="520" w:lineRule="exact"/>
        <w:ind w:firstLine="602" w:firstLineChars="200"/>
        <w:rPr>
          <w:rFonts w:ascii="仿宋_GB2312" w:hAnsi="仿宋_GB2312" w:eastAsia="仿宋_GB2312" w:cs="仿宋_GB2312"/>
          <w:b/>
          <w:bCs/>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应急管理局：</w:t>
      </w:r>
      <w:r>
        <w:rPr>
          <w:rFonts w:hint="eastAsia" w:ascii="仿宋_GB2312" w:hAnsi="仿宋_GB2312" w:eastAsia="仿宋_GB2312" w:cs="仿宋_GB2312"/>
          <w:sz w:val="30"/>
          <w:szCs w:val="30"/>
        </w:rPr>
        <w:t>负责编制本部门重污染天气应急实施方案并组织落实；</w:t>
      </w:r>
      <w:r>
        <w:rPr>
          <w:rFonts w:hint="eastAsia" w:ascii="仿宋_GB2312" w:hAnsi="仿宋_GB2312" w:eastAsia="仿宋_GB2312" w:cs="仿宋_GB2312"/>
          <w:color w:val="auto"/>
          <w:kern w:val="2"/>
          <w:sz w:val="30"/>
          <w:szCs w:val="30"/>
        </w:rPr>
        <w:t>负责危险化学品的生产、储存、使用过程中的安全生产工作；负责重污染天气期间大气污染企业停产、限产时的安全生产工作；配合公安部门实施禁限燃放烟花爆竹措施。</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市场监督管理局：</w:t>
      </w:r>
      <w:r>
        <w:rPr>
          <w:rFonts w:hint="eastAsia" w:ascii="仿宋_GB2312" w:hAnsi="仿宋_GB2312" w:eastAsia="仿宋_GB2312" w:cs="仿宋_GB2312"/>
          <w:sz w:val="30"/>
          <w:szCs w:val="30"/>
        </w:rPr>
        <w:t>负责编制本部门重污染天气应急实施方案并组织落实；</w:t>
      </w:r>
      <w:r>
        <w:rPr>
          <w:rFonts w:hint="eastAsia" w:ascii="仿宋_GB2312" w:hAnsi="仿宋_GB2312" w:eastAsia="仿宋_GB2312" w:cs="仿宋_GB2312"/>
          <w:color w:val="auto"/>
          <w:kern w:val="2"/>
          <w:sz w:val="30"/>
          <w:szCs w:val="30"/>
        </w:rPr>
        <w:t>负责指导和督促组织开展重污染天气期间生产、流通环节商品煤、成品油质量监管，严厉打击销售不合格燃油、煤炭等违法行为；加强重污染天气期间锅炉节能标准执行情况和锅炉生产、进口、销售环节环境保护标准执行情况的监督检查。</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城管执法局</w:t>
      </w:r>
      <w:r>
        <w:rPr>
          <w:rFonts w:ascii="仿宋_GB2312" w:hAnsi="仿宋_GB2312" w:eastAsia="仿宋_GB2312" w:cs="仿宋_GB2312"/>
          <w:b/>
          <w:bCs/>
          <w:color w:val="auto"/>
          <w:kern w:val="2"/>
          <w:sz w:val="30"/>
          <w:szCs w:val="30"/>
        </w:rPr>
        <w:t>:</w:t>
      </w:r>
      <w:r>
        <w:rPr>
          <w:rFonts w:ascii="仿宋_GB2312" w:hAnsi="仿宋_GB2312" w:eastAsia="仿宋_GB2312" w:cs="仿宋_GB2312"/>
          <w:color w:val="auto"/>
          <w:kern w:val="2"/>
          <w:sz w:val="30"/>
          <w:szCs w:val="30"/>
        </w:rPr>
        <w:t xml:space="preserve"> </w:t>
      </w:r>
      <w:r>
        <w:rPr>
          <w:rFonts w:hint="eastAsia" w:ascii="仿宋_GB2312" w:hAnsi="仿宋_GB2312" w:eastAsia="仿宋_GB2312" w:cs="仿宋_GB2312"/>
          <w:color w:val="auto"/>
          <w:kern w:val="2"/>
          <w:sz w:val="30"/>
          <w:szCs w:val="30"/>
        </w:rPr>
        <w:t>制定并组织落实重污染天气渣土运输、土石方作业、垃圾焚烧、露天烧烤以及城市绿化作业、市容环境整治工程等扬尘污染控制应急实施方案；</w:t>
      </w:r>
      <w:r>
        <w:rPr>
          <w:rFonts w:hint="eastAsia" w:ascii="仿宋_GB2312" w:hAnsi="仿宋_GB2312" w:eastAsia="仿宋_GB2312" w:cs="仿宋_GB2312"/>
          <w:color w:val="auto"/>
          <w:sz w:val="30"/>
          <w:szCs w:val="30"/>
        </w:rPr>
        <w:t>制定建成县重污染天气洒水降尘路线方案，协调市城管执法局，加大道路清扫保洁力度，增加洒水频次</w:t>
      </w:r>
      <w:r>
        <w:rPr>
          <w:rFonts w:hint="eastAsia" w:ascii="仿宋_GB2312" w:hAnsi="仿宋_GB2312" w:eastAsia="仿宋_GB2312" w:cs="仿宋_GB2312"/>
          <w:color w:val="auto"/>
          <w:kern w:val="2"/>
          <w:sz w:val="30"/>
          <w:szCs w:val="30"/>
        </w:rPr>
        <w:t>；负责加强“三车”</w:t>
      </w:r>
      <w:r>
        <w:rPr>
          <w:rFonts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rPr>
        <w:t>渣土车、混凝土搅拌车和砂石料车</w:t>
      </w:r>
      <w:r>
        <w:rPr>
          <w:rFonts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rPr>
        <w:t>在城区路段运输过程中发生的带泥上路、抛洒等污染路面行为的管理；督导餐饮服务单位落实重污染天气期间油烟管控。</w:t>
      </w:r>
    </w:p>
    <w:p>
      <w:pPr>
        <w:pStyle w:val="38"/>
        <w:spacing w:line="520" w:lineRule="exact"/>
        <w:ind w:firstLine="602" w:firstLineChars="200"/>
        <w:rPr>
          <w:rFonts w:ascii="仿宋_GB2312" w:hAnsi="仿宋_GB2312" w:eastAsia="仿宋_GB2312" w:cs="仿宋_GB2312"/>
          <w:b/>
          <w:bCs/>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rPr>
        <w:t>科学技术和经济信息化局：</w:t>
      </w:r>
      <w:r>
        <w:rPr>
          <w:rFonts w:hint="eastAsia" w:ascii="仿宋_GB2312" w:hAnsi="仿宋_GB2312" w:eastAsia="仿宋_GB2312" w:cs="仿宋_GB2312"/>
          <w:color w:val="auto"/>
          <w:kern w:val="2"/>
          <w:sz w:val="30"/>
          <w:szCs w:val="30"/>
        </w:rPr>
        <w:t>负责制定重污染天气水泥等非电力行业排污企业应急实施方案并组织落实；负责对非电力行业排污企业落实重污染天气企业应急预案限产限排等措施情况开展督查和检查；负责配合生态环境部门制定并更新工业企业应急减排清单。</w:t>
      </w:r>
    </w:p>
    <w:p>
      <w:pPr>
        <w:pStyle w:val="38"/>
        <w:spacing w:line="520" w:lineRule="exact"/>
        <w:ind w:firstLine="602"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b/>
          <w:bCs/>
          <w:sz w:val="30"/>
          <w:szCs w:val="30"/>
        </w:rPr>
        <w:t>县</w:t>
      </w:r>
      <w:r>
        <w:rPr>
          <w:rFonts w:hint="eastAsia" w:ascii="仿宋_GB2312" w:hAnsi="仿宋_GB2312" w:eastAsia="仿宋_GB2312" w:cs="仿宋_GB2312"/>
          <w:b/>
          <w:bCs/>
          <w:color w:val="auto"/>
          <w:kern w:val="2"/>
          <w:sz w:val="30"/>
          <w:szCs w:val="30"/>
          <w:lang w:val="zh-CN"/>
        </w:rPr>
        <w:t>国有资产监督管理局</w:t>
      </w:r>
      <w:r>
        <w:rPr>
          <w:rFonts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rPr>
        <w:t>负责组织县属国有生产型企业重污染天气预防、应对处置工作。</w:t>
      </w:r>
    </w:p>
    <w:p>
      <w:pPr>
        <w:spacing w:line="560" w:lineRule="exact"/>
        <w:ind w:firstLine="560"/>
        <w:rPr>
          <w:rFonts w:ascii="Times New Roman" w:hAnsi="Times New Roman" w:eastAsia="仿宋" w:cs="Times New Roman"/>
          <w:sz w:val="28"/>
          <w:szCs w:val="28"/>
        </w:rPr>
      </w:pPr>
      <w:r>
        <w:rPr>
          <w:rFonts w:hint="eastAsia" w:ascii="仿宋_GB2312" w:hAnsi="仿宋_GB2312" w:eastAsia="仿宋_GB2312" w:cs="仿宋_GB2312"/>
          <w:b/>
          <w:bCs/>
          <w:sz w:val="30"/>
          <w:szCs w:val="30"/>
          <w:lang w:val="zh-CN"/>
        </w:rPr>
        <w:t>国网湖北省电力有限公司咸宁市通城县供电公司：</w:t>
      </w:r>
      <w:r>
        <w:rPr>
          <w:rFonts w:hint="eastAsia" w:ascii="仿宋_GB2312" w:hAnsi="仿宋_GB2312" w:eastAsia="仿宋_GB2312" w:cs="仿宋_GB2312"/>
          <w:sz w:val="30"/>
          <w:szCs w:val="30"/>
        </w:rPr>
        <w:t>负责编制本部门重污染天气应急实施方案并组织落实；</w:t>
      </w:r>
      <w:r>
        <w:rPr>
          <w:rFonts w:hint="eastAsia" w:ascii="仿宋_GB2312" w:hAnsi="仿宋_GB2312" w:eastAsia="仿宋_GB2312" w:cs="仿宋_GB2312"/>
          <w:sz w:val="30"/>
          <w:szCs w:val="30"/>
          <w:lang w:val="zh-CN"/>
        </w:rPr>
        <w:t>负责协助发改部门开展重污染天气期间电力调度工作，积极配合响应县政府在确保安全条件下采取的相应强制措施，保证正常电力供应；配合生态环境部门提供重点企业用电量信息。</w:t>
      </w:r>
    </w:p>
    <w:p>
      <w:pPr>
        <w:spacing w:line="560" w:lineRule="exact"/>
        <w:ind w:firstLine="560"/>
        <w:rPr>
          <w:rFonts w:ascii="Times New Roman" w:hAnsi="Times New Roman" w:eastAsia="仿宋" w:cs="Times New Roman"/>
          <w:color w:val="000000"/>
          <w:sz w:val="28"/>
          <w:szCs w:val="28"/>
        </w:rPr>
      </w:pPr>
    </w:p>
    <w:p>
      <w:pPr>
        <w:spacing w:line="560" w:lineRule="exact"/>
        <w:ind w:firstLine="560"/>
        <w:rPr>
          <w:rFonts w:ascii="Times New Roman" w:hAnsi="Times New Roman" w:eastAsia="仿宋" w:cs="Times New Roman"/>
          <w:color w:val="000000"/>
          <w:sz w:val="28"/>
          <w:szCs w:val="28"/>
        </w:rPr>
      </w:pPr>
    </w:p>
    <w:p>
      <w:pPr>
        <w:spacing w:line="560" w:lineRule="exact"/>
        <w:ind w:firstLine="560"/>
        <w:rPr>
          <w:rFonts w:ascii="Times New Roman" w:hAnsi="Times New Roman" w:eastAsia="仿宋" w:cs="Times New Roman"/>
          <w:color w:val="000000"/>
          <w:sz w:val="28"/>
          <w:szCs w:val="28"/>
        </w:rPr>
      </w:pPr>
    </w:p>
    <w:p>
      <w:pPr>
        <w:spacing w:line="560" w:lineRule="exact"/>
        <w:ind w:firstLine="560"/>
        <w:rPr>
          <w:rFonts w:ascii="Times New Roman" w:hAnsi="Times New Roman" w:eastAsia="仿宋" w:cs="Times New Roman"/>
          <w:color w:val="000000"/>
          <w:sz w:val="28"/>
          <w:szCs w:val="28"/>
        </w:rPr>
      </w:pPr>
    </w:p>
    <w:p>
      <w:pPr>
        <w:spacing w:line="560" w:lineRule="exact"/>
        <w:ind w:firstLine="560"/>
        <w:rPr>
          <w:rFonts w:ascii="Times New Roman" w:hAnsi="Times New Roman" w:eastAsia="仿宋" w:cs="Times New Roman"/>
          <w:color w:val="000000"/>
          <w:sz w:val="28"/>
          <w:szCs w:val="28"/>
        </w:rPr>
      </w:pPr>
    </w:p>
    <w:p>
      <w:pPr>
        <w:rPr>
          <w:rFonts w:ascii="Times New Roman" w:hAnsi="Times New Roman" w:eastAsia="仿宋" w:cs="Times New Roman"/>
        </w:rPr>
        <w:sectPr>
          <w:pgSz w:w="11906" w:h="16838"/>
          <w:pgMar w:top="1440" w:right="1800" w:bottom="1440" w:left="1800" w:header="851" w:footer="992" w:gutter="0"/>
          <w:cols w:space="425" w:num="1"/>
          <w:docGrid w:type="lines" w:linePitch="312" w:charSpace="0"/>
        </w:sectPr>
      </w:pPr>
      <w:bookmarkStart w:id="19" w:name="_Toc529367583"/>
    </w:p>
    <w:p>
      <w:pPr>
        <w:pStyle w:val="25"/>
        <w:rPr>
          <w:rFonts w:eastAsia="仿宋"/>
        </w:rPr>
      </w:pPr>
      <w:bookmarkStart w:id="20" w:name="_Toc127188300"/>
      <w:r>
        <w:rPr>
          <w:rFonts w:eastAsia="仿宋"/>
        </w:rPr>
        <w:t>3 应急准备</w:t>
      </w:r>
      <w:bookmarkEnd w:id="20"/>
    </w:p>
    <w:p>
      <w:pPr>
        <w:pStyle w:val="27"/>
        <w:ind w:firstLine="161"/>
        <w:rPr>
          <w:rFonts w:eastAsia="仿宋" w:cs="Times New Roman"/>
        </w:rPr>
      </w:pPr>
      <w:bookmarkStart w:id="21" w:name="_Toc127188301"/>
      <w:r>
        <w:rPr>
          <w:rFonts w:eastAsia="仿宋" w:cs="Times New Roman"/>
        </w:rPr>
        <w:t>3.1修订应急减排清单</w:t>
      </w:r>
      <w:bookmarkEnd w:id="21"/>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咸宁市生态环境局通城县分局会同相关部门按要求制定重点行业绩效分级标准，基于绩效分析确定相对统一的应急减排措施；应全面掌握行政区域内所有涉气企业和工序，按照重污染天气减排比例要求，建立本县重污染天气应急减排清单。原则上所有涉气企业均应纳入应急减排清单，并制定“ 一厂一策”实施方案。每年9月底前，应完成应急减排清单修订工作，持续推进重点行业绩效分级，将修订的应急减排清单报县指挥部办公室备案，并向社会公开，引导社会力量参与监督。</w:t>
      </w:r>
    </w:p>
    <w:p>
      <w:pPr>
        <w:spacing w:line="560" w:lineRule="exact"/>
        <w:ind w:firstLine="560"/>
        <w:jc w:val="center"/>
        <w:rPr>
          <w:rFonts w:ascii="Times New Roman" w:hAnsi="Times New Roman" w:eastAsia="仿宋" w:cs="Times New Roman"/>
          <w:b/>
          <w:color w:val="FF0000"/>
          <w:sz w:val="28"/>
          <w:szCs w:val="28"/>
        </w:rPr>
      </w:pPr>
      <w:r>
        <w:rPr>
          <w:rFonts w:ascii="Times New Roman" w:hAnsi="Times New Roman" w:eastAsia="仿宋" w:cs="Times New Roman"/>
          <w:b/>
          <w:sz w:val="28"/>
          <w:szCs w:val="28"/>
        </w:rPr>
        <w:t>表3.1-1通城县重污染天气应急减排管控清单表</w:t>
      </w:r>
    </w:p>
    <w:tbl>
      <w:tblPr>
        <w:tblStyle w:val="1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431"/>
        <w:gridCol w:w="4536"/>
        <w:gridCol w:w="1973"/>
        <w:gridCol w:w="1165"/>
        <w:gridCol w:w="173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7" w:type="dxa"/>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所属城市</w:t>
            </w:r>
          </w:p>
        </w:tc>
        <w:tc>
          <w:tcPr>
            <w:tcW w:w="1431" w:type="dxa"/>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所属区县</w:t>
            </w:r>
          </w:p>
        </w:tc>
        <w:tc>
          <w:tcPr>
            <w:tcW w:w="4536" w:type="dxa"/>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企业名称</w:t>
            </w:r>
          </w:p>
        </w:tc>
        <w:tc>
          <w:tcPr>
            <w:tcW w:w="1973" w:type="dxa"/>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重点行业类型</w:t>
            </w:r>
          </w:p>
        </w:tc>
        <w:tc>
          <w:tcPr>
            <w:tcW w:w="1165" w:type="dxa"/>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响应最低级别</w:t>
            </w:r>
          </w:p>
        </w:tc>
        <w:tc>
          <w:tcPr>
            <w:tcW w:w="1730" w:type="dxa"/>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企业责任人</w:t>
            </w:r>
          </w:p>
        </w:tc>
        <w:tc>
          <w:tcPr>
            <w:tcW w:w="1986" w:type="dxa"/>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包保联系人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湖北华兴建材有限公司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水泥</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肖新升</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湖北楚风瑶韵陶瓷有限公司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陶瓷</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黄佛保</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湖北杭瑞陶瓷有限责任公司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陶瓷</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左生虎</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湖北亚细亚陶瓷有限公司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陶瓷</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谢四华</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湖北力威电工材料有限公司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耐火材料</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熊振</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湖北平安电工材料有限公司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耐火材料</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李书武</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湖北中天云母制品股份有限公司（新厂）</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耐火材料</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汪宏卫</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胡照明 夏红祥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通城县云奇云母制品有限公司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耐火材料</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李俊</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通城县云水云母科技有限公司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耐火材料</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李俊</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湖北福人药业股份有限公司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制药</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胡谷良</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湖北东启包装股份有限公司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包装印刷</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戴旺来</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胡照明 夏红祥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湖北精创电子股份有限公司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包装印刷</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吴海鸿</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通城三和木业有限责任公司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人造板制造</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葛跃斌</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通城盛世机电研磨磨具有限责任公司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工业涂装</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张雄英</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湖北华天机械股份有限公司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工业涂装</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吴超飞</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湖北惠祥电子科技有限公司</w:t>
            </w:r>
          </w:p>
        </w:tc>
        <w:tc>
          <w:tcPr>
            <w:tcW w:w="1973"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工业涂装</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吴总明</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湖北三赢兴电子科技有限公司</w:t>
            </w:r>
          </w:p>
        </w:tc>
        <w:tc>
          <w:tcPr>
            <w:tcW w:w="1973"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工业涂装</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徐宏辉</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湖北鼎通研磨科技园有限公司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工业涂装</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李炜</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湖北瀛通电子有限公司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工业涂装</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邱武</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丰普研磨科技有限公司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工业涂装</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王福强</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湖北飞虎科技有限公司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橙</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吴迪</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胡照明 夏红祥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湖北通城高新材料有限公司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橙</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吴祖望</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湖北辉翔汽车零部件制造有限公司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橙</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何玲尓</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胡照明 夏红祥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湖北丽尔家日用品股份有限公司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橙</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吴海鸿</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湖北玉立砂带集团股份有限公司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通城县宝塔砂布有限责任公司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李丹丹</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通城县宝塔造纸有限责任公司</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皮文涯</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湖北玉立砂带集团樊牌产业园</w:t>
            </w:r>
          </w:p>
        </w:tc>
        <w:tc>
          <w:tcPr>
            <w:tcW w:w="19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吴超飞</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通城县红星纸业有限公司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吴总明</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通城县天星热力有限公司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徐宏辉</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湖北省润通路桥工程有限责任公司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李炜</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通城城发矿业（集团）有限公司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邱武</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湖北炳彰科技有限公司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王福强</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湖北飞虎科技有限公司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吴迪</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胡照明 夏红祥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湖北丰普研磨科技有限公司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工业涂装</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吴祖望</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pStyle w:val="2"/>
              <w:ind w:left="1680"/>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湖北格莱德光电子器件有限公司</w:t>
            </w:r>
          </w:p>
        </w:tc>
        <w:tc>
          <w:tcPr>
            <w:tcW w:w="1973"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耐火材料</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何玲尓</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胡照明 夏红祥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湖北宏良印刷有限公司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包装印刷</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吴海鸿</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湖北平安电工科技股份公司</w:t>
            </w:r>
            <w:r>
              <w:rPr>
                <w:rFonts w:hint="eastAsia"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（通城县同力玻纤有限公司）</w:t>
            </w:r>
          </w:p>
        </w:tc>
        <w:tc>
          <w:tcPr>
            <w:tcW w:w="1973"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耐火材料</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湖北新联兴木业有限公司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李丹丹</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湖北叶亮家具有限公司</w:t>
            </w:r>
          </w:p>
        </w:tc>
        <w:tc>
          <w:tcPr>
            <w:tcW w:w="1973"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家具制造</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皮文涯</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湖北长峰电工材料有限公司</w:t>
            </w:r>
          </w:p>
        </w:tc>
        <w:tc>
          <w:tcPr>
            <w:tcW w:w="1973"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耐火材料</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王福强</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黄超波 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通城辉隆体育用品有限公司</w:t>
            </w:r>
          </w:p>
        </w:tc>
        <w:tc>
          <w:tcPr>
            <w:tcW w:w="1973"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橡胶制品制造</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吴迪</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胡照明 夏红祥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咸宁市</w:t>
            </w:r>
          </w:p>
        </w:tc>
        <w:tc>
          <w:tcPr>
            <w:tcW w:w="143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通城县</w:t>
            </w:r>
          </w:p>
        </w:tc>
        <w:tc>
          <w:tcPr>
            <w:tcW w:w="4536"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通城县盛世机电磨具有限责任公司</w:t>
            </w:r>
          </w:p>
        </w:tc>
        <w:tc>
          <w:tcPr>
            <w:tcW w:w="1973"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w:t>
            </w:r>
          </w:p>
        </w:tc>
        <w:tc>
          <w:tcPr>
            <w:tcW w:w="1165" w:type="dxa"/>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w:t>
            </w:r>
          </w:p>
        </w:tc>
        <w:tc>
          <w:tcPr>
            <w:tcW w:w="173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吴祖望</w:t>
            </w:r>
          </w:p>
        </w:tc>
        <w:tc>
          <w:tcPr>
            <w:tcW w:w="198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吴朝光 吴俊</w:t>
            </w:r>
          </w:p>
        </w:tc>
      </w:tr>
    </w:tbl>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注：响应最低级别是指需要在重污染天气预警情况下做出的最低响应级别，应填列“红”、“橙”、“黄”或“临时管控”。</w:t>
      </w:r>
      <w:bookmarkEnd w:id="19"/>
    </w:p>
    <w:p>
      <w:pPr>
        <w:spacing w:line="560" w:lineRule="exact"/>
        <w:ind w:firstLine="56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“一厂一策”实施方案主要包括企业基本情况、主要产品及产能、原辅材料及燃料、生产工艺流程图、应急组织机构、预警响应机制、应急响应措施、制度保障等内容。</w:t>
      </w:r>
    </w:p>
    <w:p>
      <w:pPr>
        <w:pStyle w:val="27"/>
        <w:ind w:firstLine="161"/>
        <w:rPr>
          <w:rFonts w:eastAsia="仿宋" w:cs="Times New Roman"/>
        </w:rPr>
      </w:pPr>
      <w:bookmarkStart w:id="22" w:name="_Toc127188302"/>
      <w:r>
        <w:rPr>
          <w:rFonts w:eastAsia="仿宋" w:cs="Times New Roman"/>
        </w:rPr>
        <w:t>3.2夯实应急减排措施</w:t>
      </w:r>
      <w:bookmarkEnd w:id="22"/>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县指挥部办公室组织专家组对各区域应急减排清单、减排措施和减排比例进行审核。以各区域为单位的二氧化硫、 氮氧化物、颗粒物和挥发性有机物在重污染天气</w:t>
      </w:r>
      <w:r>
        <w:rPr>
          <w:rFonts w:hint="eastAsia" w:ascii="宋体" w:hAnsi="宋体" w:eastAsia="宋体" w:cs="宋体"/>
          <w:color w:val="000000"/>
          <w:sz w:val="28"/>
          <w:szCs w:val="28"/>
        </w:rPr>
        <w:t>Ⅲ</w:t>
      </w:r>
      <w:r>
        <w:rPr>
          <w:rFonts w:ascii="Times New Roman" w:hAnsi="Times New Roman" w:eastAsia="仿宋" w:cs="Times New Roman"/>
          <w:color w:val="000000"/>
          <w:sz w:val="28"/>
          <w:szCs w:val="28"/>
        </w:rPr>
        <w:t>级、</w:t>
      </w:r>
      <w:r>
        <w:rPr>
          <w:rFonts w:hint="eastAsia" w:ascii="宋体" w:hAnsi="宋体" w:eastAsia="宋体" w:cs="宋体"/>
          <w:color w:val="000000"/>
          <w:sz w:val="28"/>
          <w:szCs w:val="28"/>
        </w:rPr>
        <w:t>Ⅱ</w:t>
      </w:r>
      <w:r>
        <w:rPr>
          <w:rFonts w:ascii="Times New Roman" w:hAnsi="Times New Roman" w:eastAsia="仿宋" w:cs="Times New Roman"/>
          <w:color w:val="000000"/>
          <w:sz w:val="28"/>
          <w:szCs w:val="28"/>
        </w:rPr>
        <w:t>级、I级应急响应期间的减排比例，应分别达到全社会排放量的10%、20%和30%以上。本县各区域可根据本地污染物排放构成调 整二氧化硫和氮氧化物减排比例，但二者比例之和不得低于上述总体要求。各区域在制定减排措施时，应在满足减排比例要求的前提下，采取差异化减排措施。</w:t>
      </w:r>
    </w:p>
    <w:p>
      <w:pPr>
        <w:spacing w:line="560" w:lineRule="exact"/>
        <w:ind w:firstLine="560"/>
        <w:rPr>
          <w:rFonts w:ascii="Times New Roman" w:hAnsi="Times New Roman" w:eastAsia="仿宋" w:cs="Times New Roman"/>
          <w:color w:val="000000"/>
          <w:sz w:val="28"/>
          <w:szCs w:val="28"/>
        </w:rPr>
      </w:pPr>
    </w:p>
    <w:p>
      <w:pPr>
        <w:pStyle w:val="27"/>
        <w:ind w:firstLine="161"/>
        <w:rPr>
          <w:rFonts w:eastAsia="仿宋" w:cs="Times New Roman"/>
        </w:rPr>
        <w:sectPr>
          <w:pgSz w:w="16838" w:h="11906" w:orient="landscape"/>
          <w:pgMar w:top="1800" w:right="1440" w:bottom="1800" w:left="1440" w:header="851" w:footer="992" w:gutter="0"/>
          <w:cols w:space="425" w:num="1"/>
          <w:docGrid w:type="lines" w:linePitch="312" w:charSpace="0"/>
        </w:sectPr>
      </w:pPr>
    </w:p>
    <w:p>
      <w:pPr>
        <w:pStyle w:val="25"/>
        <w:rPr>
          <w:rFonts w:eastAsia="仿宋"/>
        </w:rPr>
      </w:pPr>
      <w:bookmarkStart w:id="23" w:name="_Toc127188303"/>
      <w:r>
        <w:rPr>
          <w:rFonts w:eastAsia="仿宋"/>
        </w:rPr>
        <w:t>4 监测与预警</w:t>
      </w:r>
      <w:bookmarkEnd w:id="23"/>
    </w:p>
    <w:p>
      <w:pPr>
        <w:pStyle w:val="27"/>
        <w:ind w:firstLine="161"/>
        <w:rPr>
          <w:rFonts w:eastAsia="仿宋" w:cs="Times New Roman"/>
        </w:rPr>
      </w:pPr>
      <w:bookmarkStart w:id="24" w:name="_Toc127188304"/>
      <w:bookmarkStart w:id="25" w:name="_Toc529367584"/>
      <w:r>
        <w:rPr>
          <w:rFonts w:eastAsia="仿宋" w:cs="Times New Roman"/>
        </w:rPr>
        <w:t>4.1 监测</w:t>
      </w:r>
      <w:bookmarkEnd w:id="24"/>
      <w:bookmarkEnd w:id="25"/>
    </w:p>
    <w:p>
      <w:pPr>
        <w:pStyle w:val="32"/>
        <w:ind w:firstLine="422"/>
        <w:rPr>
          <w:rFonts w:eastAsia="仿宋" w:cs="Times New Roman"/>
        </w:rPr>
      </w:pPr>
      <w:bookmarkStart w:id="26" w:name="_Toc127188305"/>
      <w:r>
        <w:rPr>
          <w:rFonts w:eastAsia="仿宋" w:cs="Times New Roman"/>
        </w:rPr>
        <w:t>4.1.1监测与预报</w:t>
      </w:r>
      <w:bookmarkEnd w:id="26"/>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咸宁市生态环境局通城县分局负责空气质量监测信息的收集、统计分析、预报和报告。严格按照有关规定实施空气质量日常监测，并及时将有关信息上报区应急指挥部办公室，为预报、会商、预警提供决策支撑。</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（2）县气象局负责重污染天气气象资料信息的收集、统计分析、预报和报告。开展雾霾天气监测，进行气象条件变化分析和趋势预测。</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咸宁市生态环境局通城县分局和县气象局联合开展空气质量监测和评价，整合环境空气和气象监测资源，建立重污染天气监测预警机制，实现资源共享；严格按照有关规定开展环境空气质量和气象条件日常监测，做好数据收集处理、环境空 气质量现状评价以及趋势预测工作。</w:t>
      </w:r>
    </w:p>
    <w:p>
      <w:pPr>
        <w:pStyle w:val="32"/>
        <w:ind w:firstLine="422"/>
        <w:rPr>
          <w:rFonts w:eastAsia="仿宋" w:cs="Times New Roman"/>
        </w:rPr>
      </w:pPr>
      <w:bookmarkStart w:id="27" w:name="_Toc127188306"/>
      <w:r>
        <w:rPr>
          <w:rFonts w:eastAsia="仿宋" w:cs="Times New Roman"/>
        </w:rPr>
        <w:t>4.1.2会商</w:t>
      </w:r>
      <w:bookmarkEnd w:id="27"/>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监测预警组建立重污染天气会商制度，联合开展重污染天气监测及潜势分析工作。监测预警组预报未来可能出现重污染天气时，应及时发起会商。重污染天气应急响应期间，每日至少会商1次，专家组参与会商。未发布预警信息，重污染天气已经出现时，实时会商。</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当接到咸宁市区域预警指示文件时，监测预警组和专家组应加密会商频次，密切关注天气形势变化，在满足重污染天气预警必要条件时，监测预警组应立即制作《通城县重污染天气预警信息报告》，上报县应急指挥部办公室。</w:t>
      </w:r>
    </w:p>
    <w:p>
      <w:pPr>
        <w:pStyle w:val="27"/>
        <w:ind w:firstLine="161"/>
        <w:rPr>
          <w:rFonts w:eastAsia="仿宋" w:cs="Times New Roman"/>
        </w:rPr>
      </w:pPr>
      <w:bookmarkStart w:id="28" w:name="_Toc529367585"/>
      <w:bookmarkStart w:id="29" w:name="_Toc127188307"/>
      <w:r>
        <w:rPr>
          <w:rFonts w:eastAsia="仿宋" w:cs="Times New Roman"/>
        </w:rPr>
        <w:t>4.2 预警</w:t>
      </w:r>
      <w:bookmarkEnd w:id="28"/>
      <w:r>
        <w:rPr>
          <w:rFonts w:eastAsia="仿宋" w:cs="Times New Roman"/>
        </w:rPr>
        <w:t>分级</w:t>
      </w:r>
      <w:bookmarkEnd w:id="29"/>
      <w:r>
        <w:rPr>
          <w:rFonts w:eastAsia="仿宋" w:cs="Times New Roman"/>
        </w:rPr>
        <w:t xml:space="preserve"> </w:t>
      </w:r>
    </w:p>
    <w:p>
      <w:pPr>
        <w:spacing w:line="560" w:lineRule="exact"/>
        <w:ind w:firstLine="56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按照国家、省关于重污染天气应对工作的有关规定，依据空气质量预测结果，综合考虑空气污染程度和持续时间，将我</w:t>
      </w:r>
      <w:r>
        <w:rPr>
          <w:rFonts w:hint="eastAsia" w:ascii="Times New Roman" w:hAnsi="Times New Roman" w:eastAsia="仿宋" w:cs="Times New Roman"/>
          <w:color w:val="0000FF"/>
          <w:sz w:val="28"/>
          <w:szCs w:val="28"/>
        </w:rPr>
        <w:t>区</w:t>
      </w:r>
      <w:r>
        <w:rPr>
          <w:rFonts w:hint="eastAsia" w:ascii="Times New Roman" w:hAnsi="Times New Roman" w:eastAsia="仿宋" w:cs="Times New Roman"/>
          <w:color w:val="000000"/>
          <w:sz w:val="28"/>
          <w:szCs w:val="28"/>
        </w:rPr>
        <w:t>重污染天气预警分为</w:t>
      </w:r>
      <w:r>
        <w:rPr>
          <w:rFonts w:ascii="Times New Roman" w:hAnsi="Times New Roman" w:eastAsia="仿宋" w:cs="Times New Roman"/>
          <w:color w:val="000000"/>
          <w:sz w:val="28"/>
          <w:szCs w:val="28"/>
        </w:rPr>
        <w:t>3个级别，由轻到重依次为Ⅲ级（黄色）预警、Ⅱ级（橙色）预警、Ⅰ级（红色）预警，Ⅰ级（红色）预警为最高级别预警。</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(1)黄色预警：预测AQI日均值&gt;200</w:t>
      </w:r>
      <w:r>
        <w:rPr>
          <w:rFonts w:hint="eastAsia" w:ascii="Times New Roman" w:hAnsi="Times New Roman" w:eastAsia="仿宋" w:cs="Times New Roman"/>
          <w:color w:val="000000"/>
          <w:sz w:val="28"/>
          <w:szCs w:val="28"/>
        </w:rPr>
        <w:t>或日A</w:t>
      </w:r>
      <w:r>
        <w:rPr>
          <w:rFonts w:ascii="Times New Roman" w:hAnsi="Times New Roman" w:eastAsia="仿宋" w:cs="Times New Roman"/>
          <w:color w:val="000000"/>
          <w:sz w:val="28"/>
          <w:szCs w:val="28"/>
        </w:rPr>
        <w:t>QI</w:t>
      </w:r>
      <w:r>
        <w:rPr>
          <w:rFonts w:hint="eastAsia" w:ascii="Times New Roman" w:hAnsi="Times New Roman" w:eastAsia="仿宋" w:cs="Times New Roman"/>
          <w:color w:val="000000"/>
          <w:sz w:val="28"/>
          <w:szCs w:val="28"/>
        </w:rPr>
        <w:t>&gt;</w:t>
      </w:r>
      <w:r>
        <w:rPr>
          <w:rFonts w:ascii="Times New Roman" w:hAnsi="Times New Roman" w:eastAsia="仿宋" w:cs="Times New Roman"/>
          <w:color w:val="000000"/>
          <w:sz w:val="28"/>
          <w:szCs w:val="28"/>
        </w:rPr>
        <w:t>150持续48小时及以上，且短时出现重度污染、未达到高级别预警条件。</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(2)橙色预警：预测AQI日均值&gt;200持续48小时及</w:t>
      </w:r>
      <w:r>
        <w:rPr>
          <w:rFonts w:hint="eastAsia" w:ascii="Times New Roman" w:hAnsi="Times New Roman" w:eastAsia="仿宋" w:cs="Times New Roman"/>
          <w:color w:val="000000"/>
          <w:sz w:val="28"/>
          <w:szCs w:val="28"/>
        </w:rPr>
        <w:t>或日A</w:t>
      </w:r>
      <w:r>
        <w:rPr>
          <w:rFonts w:ascii="Times New Roman" w:hAnsi="Times New Roman" w:eastAsia="仿宋" w:cs="Times New Roman"/>
          <w:color w:val="000000"/>
          <w:sz w:val="28"/>
          <w:szCs w:val="28"/>
        </w:rPr>
        <w:t>QI&gt;150</w:t>
      </w:r>
      <w:r>
        <w:rPr>
          <w:rFonts w:hint="eastAsia" w:ascii="Times New Roman" w:hAnsi="Times New Roman" w:eastAsia="仿宋" w:cs="Times New Roman"/>
          <w:color w:val="000000"/>
          <w:sz w:val="28"/>
          <w:szCs w:val="28"/>
        </w:rPr>
        <w:t>持续7</w:t>
      </w:r>
      <w:r>
        <w:rPr>
          <w:rFonts w:ascii="Times New Roman" w:hAnsi="Times New Roman" w:eastAsia="仿宋" w:cs="Times New Roman"/>
          <w:color w:val="000000"/>
          <w:sz w:val="28"/>
          <w:szCs w:val="28"/>
        </w:rPr>
        <w:t>2</w:t>
      </w:r>
      <w:r>
        <w:rPr>
          <w:rFonts w:hint="eastAsia" w:ascii="Times New Roman" w:hAnsi="Times New Roman" w:eastAsia="仿宋" w:cs="Times New Roman"/>
          <w:color w:val="000000"/>
          <w:sz w:val="28"/>
          <w:szCs w:val="28"/>
        </w:rPr>
        <w:t>小时及</w:t>
      </w:r>
      <w:r>
        <w:rPr>
          <w:rFonts w:ascii="Times New Roman" w:hAnsi="Times New Roman" w:eastAsia="仿宋" w:cs="Times New Roman"/>
          <w:color w:val="000000"/>
          <w:sz w:val="28"/>
          <w:szCs w:val="28"/>
        </w:rPr>
        <w:t>以上，且未达到高级别预警条件。</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(3)红色预警：预测AQI日均值&gt;200</w:t>
      </w:r>
      <w:r>
        <w:rPr>
          <w:rFonts w:hint="eastAsia" w:ascii="Times New Roman" w:hAnsi="Times New Roman" w:eastAsia="仿宋" w:cs="Times New Roman"/>
          <w:color w:val="000000"/>
          <w:sz w:val="28"/>
          <w:szCs w:val="28"/>
        </w:rPr>
        <w:t>持续7</w:t>
      </w:r>
      <w:r>
        <w:rPr>
          <w:rFonts w:ascii="Times New Roman" w:hAnsi="Times New Roman" w:eastAsia="仿宋" w:cs="Times New Roman"/>
          <w:color w:val="000000"/>
          <w:sz w:val="28"/>
          <w:szCs w:val="28"/>
        </w:rPr>
        <w:t>2小时且</w:t>
      </w:r>
      <w:r>
        <w:rPr>
          <w:rFonts w:hint="eastAsia" w:ascii="Times New Roman" w:hAnsi="Times New Roman" w:eastAsia="仿宋" w:cs="Times New Roman"/>
          <w:color w:val="000000"/>
          <w:sz w:val="28"/>
          <w:szCs w:val="28"/>
        </w:rPr>
        <w:t>日</w:t>
      </w:r>
      <w:r>
        <w:rPr>
          <w:rFonts w:ascii="Times New Roman" w:hAnsi="Times New Roman" w:eastAsia="仿宋" w:cs="Times New Roman"/>
          <w:color w:val="000000"/>
          <w:sz w:val="28"/>
          <w:szCs w:val="28"/>
        </w:rPr>
        <w:t>AQI&gt;300持续</w:t>
      </w:r>
      <w:r>
        <w:rPr>
          <w:rFonts w:hint="eastAsia" w:ascii="Times New Roman" w:hAnsi="Times New Roman" w:eastAsia="仿宋" w:cs="Times New Roman"/>
          <w:color w:val="000000"/>
          <w:sz w:val="28"/>
          <w:szCs w:val="28"/>
        </w:rPr>
        <w:t>2</w:t>
      </w:r>
      <w:r>
        <w:rPr>
          <w:rFonts w:ascii="Times New Roman" w:hAnsi="Times New Roman" w:eastAsia="仿宋" w:cs="Times New Roman"/>
          <w:color w:val="000000"/>
          <w:sz w:val="28"/>
          <w:szCs w:val="28"/>
        </w:rPr>
        <w:t>4小时及以上。</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坚持预防优先的原则，当预测未来24小时出现PM</w:t>
      </w:r>
      <w:r>
        <w:rPr>
          <w:rFonts w:ascii="Times New Roman" w:hAnsi="Times New Roman" w:eastAsia="仿宋" w:cs="Times New Roman"/>
          <w:color w:val="000000"/>
          <w:sz w:val="28"/>
          <w:szCs w:val="28"/>
          <w:vertAlign w:val="subscript"/>
        </w:rPr>
        <w:t>10</w:t>
      </w:r>
      <w:r>
        <w:rPr>
          <w:rFonts w:ascii="Times New Roman" w:hAnsi="Times New Roman" w:eastAsia="仿宋" w:cs="Times New Roman"/>
          <w:color w:val="000000"/>
          <w:sz w:val="28"/>
          <w:szCs w:val="28"/>
        </w:rPr>
        <w:t>均值浓 度&gt;150μg/m</w:t>
      </w:r>
      <w:r>
        <w:rPr>
          <w:rFonts w:ascii="Times New Roman" w:hAnsi="Times New Roman" w:eastAsia="仿宋" w:cs="Times New Roman"/>
          <w:color w:val="000000"/>
          <w:sz w:val="28"/>
          <w:szCs w:val="28"/>
          <w:vertAlign w:val="superscript"/>
        </w:rPr>
        <w:t>3</w:t>
      </w:r>
      <w:r>
        <w:rPr>
          <w:rFonts w:ascii="Times New Roman" w:hAnsi="Times New Roman" w:eastAsia="仿宋" w:cs="Times New Roman"/>
          <w:color w:val="000000"/>
          <w:sz w:val="28"/>
          <w:szCs w:val="28"/>
        </w:rPr>
        <w:t>、PM</w:t>
      </w:r>
      <w:r>
        <w:rPr>
          <w:rFonts w:ascii="Times New Roman" w:hAnsi="Times New Roman" w:eastAsia="仿宋" w:cs="Times New Roman"/>
          <w:color w:val="000000"/>
          <w:sz w:val="28"/>
          <w:szCs w:val="28"/>
          <w:vertAlign w:val="subscript"/>
        </w:rPr>
        <w:t>2.5</w:t>
      </w:r>
      <w:r>
        <w:rPr>
          <w:rFonts w:ascii="Times New Roman" w:hAnsi="Times New Roman" w:eastAsia="仿宋" w:cs="Times New Roman"/>
          <w:color w:val="000000"/>
          <w:sz w:val="28"/>
          <w:szCs w:val="28"/>
        </w:rPr>
        <w:t>均值浓度&gt;75μg/m</w:t>
      </w:r>
      <w:r>
        <w:rPr>
          <w:rFonts w:ascii="Times New Roman" w:hAnsi="Times New Roman" w:eastAsia="仿宋" w:cs="Times New Roman"/>
          <w:color w:val="000000"/>
          <w:sz w:val="28"/>
          <w:szCs w:val="28"/>
          <w:vertAlign w:val="superscript"/>
        </w:rPr>
        <w:t>3</w:t>
      </w:r>
      <w:r>
        <w:rPr>
          <w:rFonts w:ascii="Times New Roman" w:hAnsi="Times New Roman" w:eastAsia="仿宋" w:cs="Times New Roman"/>
          <w:color w:val="000000"/>
          <w:sz w:val="28"/>
          <w:szCs w:val="28"/>
        </w:rPr>
        <w:t>或臭氧(0</w:t>
      </w:r>
      <w:r>
        <w:rPr>
          <w:rFonts w:ascii="Times New Roman" w:hAnsi="Times New Roman" w:eastAsia="仿宋" w:cs="Times New Roman"/>
          <w:color w:val="000000"/>
          <w:sz w:val="28"/>
          <w:szCs w:val="28"/>
          <w:vertAlign w:val="subscript"/>
        </w:rPr>
        <w:t>3</w:t>
      </w:r>
      <w:r>
        <w:rPr>
          <w:rFonts w:ascii="Times New Roman" w:hAnsi="Times New Roman" w:eastAsia="仿宋" w:cs="Times New Roman"/>
          <w:color w:val="000000"/>
          <w:sz w:val="28"/>
          <w:szCs w:val="28"/>
        </w:rPr>
        <w:t>)8小时滑动平均浓度&gt;160μg/m</w:t>
      </w:r>
      <w:r>
        <w:rPr>
          <w:rFonts w:ascii="Times New Roman" w:hAnsi="Times New Roman" w:eastAsia="仿宋" w:cs="Times New Roman"/>
          <w:color w:val="000000"/>
          <w:sz w:val="28"/>
          <w:szCs w:val="28"/>
          <w:vertAlign w:val="superscript"/>
        </w:rPr>
        <w:t>3</w:t>
      </w:r>
      <w:r>
        <w:rPr>
          <w:rFonts w:ascii="Times New Roman" w:hAnsi="Times New Roman" w:eastAsia="仿宋" w:cs="Times New Roman"/>
          <w:color w:val="000000"/>
          <w:sz w:val="28"/>
          <w:szCs w:val="28"/>
        </w:rPr>
        <w:t>,且尚未达到黄色预警条件时，应加强公众健康防护信息提示，结合实际情况可以采取临时管控措施或提前采取黄色预警响应措施。</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因沙尘造成的重污染天气，参照生态环境部关于沙尘天气相关要求执行。</w:t>
      </w:r>
      <w:bookmarkStart w:id="30" w:name="_Toc529367587"/>
    </w:p>
    <w:p>
      <w:pPr>
        <w:pStyle w:val="27"/>
        <w:ind w:firstLine="161"/>
        <w:rPr>
          <w:rFonts w:eastAsia="仿宋" w:cs="Times New Roman"/>
        </w:rPr>
      </w:pPr>
      <w:bookmarkStart w:id="31" w:name="_Toc127188308"/>
      <w:r>
        <w:rPr>
          <w:rFonts w:eastAsia="仿宋" w:cs="Times New Roman"/>
        </w:rPr>
        <w:t>4.3预警会商</w:t>
      </w:r>
      <w:bookmarkEnd w:id="31"/>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县指挥部办公室根据各区域重污染天气预警发布情况，结合重污染天气监测、预测信息进行综合分析研判，当预判可能发生重污染天气时，应当及时组织专家会商。当预判未来空气质量可能达到重点区域相应级别预警启动条件时，应及时向县指挥部提出预警建议。重点区域重污染天气应急响应期间应增加会商频次。</w:t>
      </w:r>
    </w:p>
    <w:p>
      <w:pPr>
        <w:pStyle w:val="27"/>
        <w:ind w:firstLine="161"/>
        <w:rPr>
          <w:rFonts w:eastAsia="仿宋" w:cs="Times New Roman"/>
        </w:rPr>
      </w:pPr>
      <w:bookmarkStart w:id="32" w:name="_Toc127188309"/>
      <w:r>
        <w:rPr>
          <w:rFonts w:eastAsia="仿宋" w:cs="Times New Roman"/>
        </w:rPr>
        <w:t>4.4预警发布</w:t>
      </w:r>
      <w:bookmarkEnd w:id="30"/>
      <w:bookmarkEnd w:id="32"/>
    </w:p>
    <w:p>
      <w:pPr>
        <w:pStyle w:val="32"/>
        <w:ind w:firstLine="422"/>
        <w:rPr>
          <w:rFonts w:eastAsia="仿宋" w:cs="Times New Roman"/>
          <w:b w:val="0"/>
          <w:bCs w:val="0"/>
          <w:szCs w:val="28"/>
        </w:rPr>
      </w:pPr>
      <w:bookmarkStart w:id="33" w:name="_Toc26096"/>
      <w:bookmarkStart w:id="34" w:name="_Toc24817"/>
      <w:bookmarkStart w:id="35" w:name="_Toc127188310"/>
      <w:r>
        <w:rPr>
          <w:rFonts w:eastAsia="仿宋" w:cs="Times New Roman"/>
        </w:rPr>
        <w:t>4.4.1发布时间</w:t>
      </w:r>
      <w:bookmarkEnd w:id="33"/>
      <w:bookmarkEnd w:id="34"/>
      <w:bookmarkEnd w:id="35"/>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当预测到未来空气质量可能达到相应级别预警启动条件时，应提前24小时发布预警信息；如遇特殊情况未能提前24小时以上发布预警信息，应当通过实时会商，判断满足预警条件时，立即发布预警信息；当监测AQI达到严重污染级别，且预测未来24小时内不会有明显改善时，应根据实际污染情况尽早启动相应级别的预警。原则上，启动预警的时间尽量安排在工作时间（8:00-18:00）。当接到咸宁市区域预警指示文件时，按要求启动相应级别预警。</w:t>
      </w:r>
    </w:p>
    <w:p>
      <w:pPr>
        <w:pStyle w:val="32"/>
        <w:ind w:firstLine="422"/>
        <w:rPr>
          <w:rFonts w:eastAsia="仿宋" w:cs="Times New Roman"/>
        </w:rPr>
      </w:pPr>
      <w:bookmarkStart w:id="36" w:name="_Toc127188311"/>
      <w:bookmarkStart w:id="37" w:name="_Toc15658"/>
      <w:bookmarkStart w:id="38" w:name="_Toc22372"/>
      <w:r>
        <w:rPr>
          <w:rFonts w:eastAsia="仿宋" w:cs="Times New Roman"/>
        </w:rPr>
        <w:t>4.4.2发布程序</w:t>
      </w:r>
      <w:bookmarkEnd w:id="36"/>
      <w:bookmarkEnd w:id="37"/>
      <w:bookmarkEnd w:id="38"/>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一旦预测未来将出现或已出现重污染天气，监测预警组应及时发起会商，根据现状分析、预报信息进行综合研判。经会商达到预警条件时，及时制作《重污染天气会商结果表》，经批准后，由区重污染天气应急指挥部发布预警。预警信息文本发布后，应急指挥部办公室通过预警信息平台发布预警信息，对企业和公众的预警信息由相关职能部门发布。</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当接到咸宁市区域预警指示文件时，组织监测预警组和应急专家组联合会商研判大气环境质量变化趋势，超过咸宁市预警指示文件预警等级时，按照我县实际情况及时发布区级预警信息；未达到咸宁市预警指示文件预警等级时，按照预警文件等级及时发布县级预警信息。</w:t>
      </w:r>
    </w:p>
    <w:p>
      <w:pPr>
        <w:pStyle w:val="32"/>
        <w:ind w:firstLine="422"/>
        <w:rPr>
          <w:rFonts w:eastAsia="仿宋" w:cs="Times New Roman"/>
          <w:b w:val="0"/>
          <w:bCs w:val="0"/>
          <w:szCs w:val="28"/>
        </w:rPr>
      </w:pPr>
      <w:bookmarkStart w:id="39" w:name="_Toc25980"/>
      <w:bookmarkStart w:id="40" w:name="_Toc127188312"/>
      <w:bookmarkStart w:id="41" w:name="_Toc17221"/>
      <w:r>
        <w:rPr>
          <w:rFonts w:eastAsia="仿宋" w:cs="Times New Roman"/>
        </w:rPr>
        <w:t>4.4.3发布方式</w:t>
      </w:r>
      <w:bookmarkEnd w:id="39"/>
      <w:bookmarkEnd w:id="40"/>
      <w:bookmarkEnd w:id="41"/>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（1）通过县政府办公内网以及电话等方式向县应急指挥部办公室各成员单位和相关（乡）镇人民政府、办事处、通城经济开发区管委会发布预警信息。</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（2）预警信息按照要求，通过县政府门户网站和相关官方微博、微信等渠道实施全媒体信息发布。</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由县应急指挥部办公室提供应急预警的新闻通稿，由县委宣传部协调中国电信、移动、联通通城分公司、通城新闻网、通城县气象局官网采取手机短信、广播、电视、网络、报纸等方式及时向社会公众发布空气质量预警信息。</w:t>
      </w:r>
    </w:p>
    <w:p>
      <w:pPr>
        <w:pStyle w:val="32"/>
        <w:ind w:firstLine="422"/>
        <w:rPr>
          <w:rFonts w:eastAsia="仿宋" w:cs="Times New Roman"/>
        </w:rPr>
      </w:pPr>
      <w:bookmarkStart w:id="42" w:name="_Toc8501"/>
      <w:bookmarkStart w:id="43" w:name="_Toc22504"/>
      <w:bookmarkStart w:id="44" w:name="_Toc127188313"/>
      <w:r>
        <w:rPr>
          <w:rFonts w:eastAsia="仿宋" w:cs="Times New Roman"/>
        </w:rPr>
        <w:t>4.4.4信息发布对象及要求</w:t>
      </w:r>
      <w:bookmarkEnd w:id="42"/>
      <w:bookmarkEnd w:id="43"/>
      <w:bookmarkEnd w:id="44"/>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（1）预警信息发布对象为各（乡）镇人民政府、办事处、通城经济开发区管委会、县应急响应指挥部各成员单位。</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（2）针对企业和公众的预警信息由相关职能部门依据实施方案发布。</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sz w:val="30"/>
          <w:szCs w:val="30"/>
        </w:rPr>
        <w:t>（3）预警信息内容包括发布单位、发布时间、重污染天气出现的时间、地点、受影响范围、空气质量级别、预警等级、主要污染物、预警级别及未来24小时、48小时城市气象条件变化趋势等。</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（4）III级预警由副指挥长同意后发布预警信息，再报县政府备案；II、I级预警由指挥长同意后发布预警信息，再报县政府、市政府备案。</w:t>
      </w:r>
    </w:p>
    <w:p>
      <w:pPr>
        <w:pStyle w:val="27"/>
        <w:ind w:firstLine="161"/>
        <w:rPr>
          <w:rFonts w:eastAsia="仿宋" w:cs="Times New Roman"/>
        </w:rPr>
      </w:pPr>
      <w:bookmarkStart w:id="45" w:name="_Toc127188314"/>
      <w:r>
        <w:rPr>
          <w:rFonts w:eastAsia="仿宋" w:cs="Times New Roman"/>
        </w:rPr>
        <w:t>4.5预警变更</w:t>
      </w:r>
      <w:bookmarkEnd w:id="45"/>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当空气质量改善到相应级别预警启动标准以下，且预测将持续36小时以上时，应降低预警级别，并提前发布信息。当预测或监测空气质量达到更高级别预警条件时，应当根据实际污染情况及时调整到相应级别的预警。本县传输通道区域可由相应的大气污染防治协作小组发布更高级别预警。</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当预测发生前后两次重污染天气过程，且间隔时间未达到除预警条件时，应当按一次重污染天气过程计算，从高级别启动预警。</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预警变更的主体及程序和预警发布相同。</w:t>
      </w:r>
    </w:p>
    <w:p>
      <w:pPr>
        <w:pStyle w:val="27"/>
        <w:ind w:firstLine="161"/>
        <w:rPr>
          <w:rFonts w:eastAsia="仿宋" w:cs="Times New Roman"/>
        </w:rPr>
      </w:pPr>
      <w:bookmarkStart w:id="46" w:name="_Toc529367589"/>
      <w:bookmarkStart w:id="47" w:name="_Toc127188315"/>
      <w:r>
        <w:rPr>
          <w:rFonts w:eastAsia="仿宋" w:cs="Times New Roman"/>
        </w:rPr>
        <w:t>4.6预警解除</w:t>
      </w:r>
      <w:bookmarkEnd w:id="46"/>
      <w:bookmarkEnd w:id="47"/>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预测或监测空气质量指数将降至或已降至黄色预警条件以下，且预测将持续36小时以上时，咸宁市生态环境局通城县分局会同县气象部门提出解除预警建议，报本级重污染天气应急组织机构批准 后发布。</w:t>
      </w:r>
    </w:p>
    <w:p>
      <w:pPr>
        <w:spacing w:line="560" w:lineRule="exact"/>
        <w:ind w:firstLine="56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预警解除的主体及程序和预警发布相同。</w:t>
      </w:r>
    </w:p>
    <w:p>
      <w:pPr>
        <w:pStyle w:val="27"/>
        <w:ind w:firstLine="161"/>
        <w:rPr>
          <w:rFonts w:eastAsia="仿宋" w:cs="Times New Roman"/>
        </w:rPr>
      </w:pPr>
      <w:bookmarkStart w:id="48" w:name="_Toc127188316"/>
      <w:bookmarkStart w:id="49" w:name="_Toc529367588"/>
      <w:r>
        <w:rPr>
          <w:rFonts w:eastAsia="仿宋" w:cs="Times New Roman"/>
        </w:rPr>
        <w:t>4.7 预警措施</w:t>
      </w:r>
      <w:bookmarkEnd w:id="48"/>
      <w:bookmarkEnd w:id="49"/>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宋体" w:hAnsi="宋体" w:eastAsia="宋体" w:cs="宋体"/>
          <w:sz w:val="30"/>
          <w:szCs w:val="30"/>
        </w:rPr>
        <w:t>Ⅲ</w:t>
      </w:r>
      <w:r>
        <w:rPr>
          <w:rFonts w:ascii="Times New Roman" w:hAnsi="Times New Roman" w:eastAsia="仿宋" w:cs="Times New Roman"/>
          <w:sz w:val="30"/>
          <w:szCs w:val="30"/>
        </w:rPr>
        <w:t>级预警措施：咸宁市生态环境局通城县分局、县气象局会商确认后，经请示县重污染天气应急指挥部副指挥长同意，由县重污染天气应急指挥部办公室发布黄色预警，并向县政府报告。</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宋体" w:hAnsi="宋体" w:eastAsia="宋体" w:cs="宋体"/>
          <w:sz w:val="30"/>
          <w:szCs w:val="30"/>
        </w:rPr>
        <w:t>Ⅱ</w:t>
      </w:r>
      <w:r>
        <w:rPr>
          <w:rFonts w:ascii="Times New Roman" w:hAnsi="Times New Roman" w:eastAsia="仿宋" w:cs="Times New Roman"/>
          <w:sz w:val="30"/>
          <w:szCs w:val="30"/>
        </w:rPr>
        <w:t>级预警措施：咸宁市生态环境局通城县分局、县气象局会商后提出启动预警建议，县重污染天气应急指挥部副指挥长召集县重污染天气应急指挥部成员单位会商确认后，经请示县重污染天气应急指挥部指挥长同意，由县重污染天气应急指挥部办公室发布橙色预警，并向县政府报告。</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I级预警措施：咸宁市生态环境局通城县分局、县气象局会商后提出启动预警建议，县重污染天气应急指挥部副指挥长召集县重污染天气应急指挥部成员单位会商确认后，经请示县重污染天气应急指挥部指挥长同意，由县重污染天气应急指挥部发布红色预警，并向县政府、市政府报告</w:t>
      </w:r>
    </w:p>
    <w:p>
      <w:pPr>
        <w:pStyle w:val="27"/>
        <w:ind w:firstLine="161"/>
        <w:rPr>
          <w:rFonts w:eastAsia="仿宋" w:cs="Times New Roman"/>
        </w:rPr>
      </w:pPr>
      <w:bookmarkStart w:id="50" w:name="_Toc127188317"/>
      <w:r>
        <w:rPr>
          <w:rFonts w:eastAsia="仿宋" w:cs="Times New Roman"/>
        </w:rPr>
        <w:t>4.8 区域应急联动</w:t>
      </w:r>
      <w:bookmarkEnd w:id="50"/>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人民政府、通城经济开发区管理委员会应将区域应急联动措施纳入本地重污染天气应急预案。当预测区域内多个连片乡镇空气质量达到启动橙色及以上预警级别，且未达区域预警启动条件时，县政府重污染天气应急指挥部办公室基于区域会商结果，通报预警信息，县政府应按照预警信息要求及时启动相应级别预警，开展区域应急联动。</w:t>
      </w:r>
    </w:p>
    <w:p>
      <w:pPr>
        <w:spacing w:line="520" w:lineRule="exact"/>
        <w:ind w:firstLine="600" w:firstLineChars="200"/>
        <w:rPr>
          <w:rFonts w:ascii="Times New Roman" w:hAnsi="Times New Roman" w:eastAsia="仿宋" w:cs="Times New Roman"/>
          <w:sz w:val="30"/>
          <w:szCs w:val="30"/>
        </w:rPr>
      </w:pPr>
    </w:p>
    <w:p>
      <w:pPr>
        <w:pStyle w:val="25"/>
        <w:rPr>
          <w:rFonts w:eastAsia="仿宋"/>
        </w:rPr>
      </w:pPr>
      <w:bookmarkStart w:id="51" w:name="_Toc127188318"/>
      <w:r>
        <w:rPr>
          <w:rFonts w:eastAsia="仿宋"/>
        </w:rPr>
        <w:t>5 应急响应</w:t>
      </w:r>
      <w:bookmarkEnd w:id="51"/>
    </w:p>
    <w:p>
      <w:pPr>
        <w:pStyle w:val="27"/>
        <w:ind w:firstLine="161"/>
        <w:rPr>
          <w:rFonts w:eastAsia="仿宋" w:cs="Times New Roman"/>
        </w:rPr>
      </w:pPr>
      <w:bookmarkStart w:id="52" w:name="_Toc529367591"/>
      <w:bookmarkStart w:id="53" w:name="_Toc127188319"/>
      <w:r>
        <w:rPr>
          <w:rFonts w:eastAsia="仿宋" w:cs="Times New Roman"/>
        </w:rPr>
        <w:t>5.1响应分级</w:t>
      </w:r>
      <w:bookmarkEnd w:id="52"/>
      <w:r>
        <w:rPr>
          <w:rFonts w:eastAsia="仿宋" w:cs="Times New Roman"/>
        </w:rPr>
        <w:t>和启动</w:t>
      </w:r>
      <w:bookmarkEnd w:id="53"/>
    </w:p>
    <w:p>
      <w:pPr>
        <w:pStyle w:val="32"/>
        <w:ind w:firstLine="422"/>
        <w:rPr>
          <w:rFonts w:eastAsia="仿宋" w:cs="Times New Roman"/>
        </w:rPr>
      </w:pPr>
      <w:bookmarkStart w:id="54" w:name="_Toc127188320"/>
      <w:r>
        <w:rPr>
          <w:rFonts w:eastAsia="仿宋" w:cs="Times New Roman"/>
        </w:rPr>
        <w:t>5.1.1响应分级</w:t>
      </w:r>
      <w:bookmarkEnd w:id="54"/>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按照实时监测的AQI指数值立即进行应急响应，或者根据预报预警情形提前采取应急响应措施，重污染天气预警信息发布的同时启动相应级别的应急响应。</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县政府各部门以及相关企业在收到预警信息后，立即启动各自保障预案和实施方案，并在24小时内落实应急响应措施，避免重污染天气出现或减少持续时间。预警解除信息发布后终止应急响应。</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按预警等级实行三级响应：</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（1）当发布</w:t>
      </w:r>
      <w:r>
        <w:rPr>
          <w:rFonts w:hint="eastAsia" w:ascii="宋体" w:hAnsi="宋体" w:eastAsia="宋体" w:cs="宋体"/>
          <w:sz w:val="30"/>
          <w:szCs w:val="30"/>
        </w:rPr>
        <w:t>Ⅲ</w:t>
      </w:r>
      <w:r>
        <w:rPr>
          <w:rFonts w:ascii="Times New Roman" w:hAnsi="Times New Roman" w:eastAsia="仿宋" w:cs="Times New Roman"/>
          <w:sz w:val="30"/>
          <w:szCs w:val="30"/>
        </w:rPr>
        <w:t>级（黄色）预警时，启动</w:t>
      </w:r>
      <w:r>
        <w:rPr>
          <w:rFonts w:hint="eastAsia" w:ascii="宋体" w:hAnsi="宋体" w:eastAsia="宋体" w:cs="宋体"/>
          <w:sz w:val="30"/>
          <w:szCs w:val="30"/>
        </w:rPr>
        <w:t>Ⅲ</w:t>
      </w:r>
      <w:r>
        <w:rPr>
          <w:rFonts w:ascii="Times New Roman" w:hAnsi="Times New Roman" w:eastAsia="仿宋" w:cs="Times New Roman"/>
          <w:sz w:val="30"/>
          <w:szCs w:val="30"/>
        </w:rPr>
        <w:t>级响应;</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（2）当发布</w:t>
      </w:r>
      <w:r>
        <w:rPr>
          <w:rFonts w:hint="eastAsia" w:ascii="宋体" w:hAnsi="宋体" w:eastAsia="宋体" w:cs="宋体"/>
          <w:sz w:val="30"/>
          <w:szCs w:val="30"/>
        </w:rPr>
        <w:t>Ⅱ</w:t>
      </w:r>
      <w:r>
        <w:rPr>
          <w:rFonts w:ascii="Times New Roman" w:hAnsi="Times New Roman" w:eastAsia="仿宋" w:cs="Times New Roman"/>
          <w:sz w:val="30"/>
          <w:szCs w:val="30"/>
        </w:rPr>
        <w:t>级（橙色）预警时，启动</w:t>
      </w:r>
      <w:r>
        <w:rPr>
          <w:rFonts w:hint="eastAsia" w:ascii="宋体" w:hAnsi="宋体" w:eastAsia="宋体" w:cs="宋体"/>
          <w:sz w:val="30"/>
          <w:szCs w:val="30"/>
        </w:rPr>
        <w:t>Ⅱ</w:t>
      </w:r>
      <w:r>
        <w:rPr>
          <w:rFonts w:ascii="Times New Roman" w:hAnsi="Times New Roman" w:eastAsia="仿宋" w:cs="Times New Roman"/>
          <w:sz w:val="30"/>
          <w:szCs w:val="30"/>
        </w:rPr>
        <w:t>级响应;</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（3）当发布</w:t>
      </w:r>
      <w:r>
        <w:rPr>
          <w:rFonts w:hint="eastAsia" w:ascii="宋体" w:hAnsi="宋体" w:eastAsia="宋体" w:cs="宋体"/>
          <w:sz w:val="30"/>
          <w:szCs w:val="30"/>
        </w:rPr>
        <w:t>Ⅰ</w:t>
      </w:r>
      <w:r>
        <w:rPr>
          <w:rFonts w:ascii="Times New Roman" w:hAnsi="Times New Roman" w:eastAsia="仿宋" w:cs="Times New Roman"/>
          <w:sz w:val="30"/>
          <w:szCs w:val="30"/>
        </w:rPr>
        <w:t>级（红色）预警时，启动</w:t>
      </w:r>
      <w:r>
        <w:rPr>
          <w:rFonts w:hint="eastAsia" w:ascii="宋体" w:hAnsi="宋体" w:eastAsia="宋体" w:cs="宋体"/>
          <w:sz w:val="30"/>
          <w:szCs w:val="30"/>
        </w:rPr>
        <w:t>Ⅰ</w:t>
      </w:r>
      <w:r>
        <w:rPr>
          <w:rFonts w:ascii="Times New Roman" w:hAnsi="Times New Roman" w:eastAsia="仿宋" w:cs="Times New Roman"/>
          <w:sz w:val="30"/>
          <w:szCs w:val="30"/>
        </w:rPr>
        <w:t>级响应。</w:t>
      </w:r>
    </w:p>
    <w:p>
      <w:pPr>
        <w:pStyle w:val="32"/>
        <w:ind w:firstLine="422"/>
        <w:rPr>
          <w:rFonts w:eastAsia="仿宋" w:cs="Times New Roman"/>
        </w:rPr>
      </w:pPr>
      <w:bookmarkStart w:id="55" w:name="_Toc127188321"/>
      <w:r>
        <w:rPr>
          <w:rFonts w:eastAsia="仿宋" w:cs="Times New Roman"/>
        </w:rPr>
        <w:t>5.1.2响应启动</w:t>
      </w:r>
      <w:bookmarkEnd w:id="55"/>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根据AQI预测结果发布预警时，由县应急指挥部办公室通知各成员单位立即启动应急预案或者实施方案中设定的应急响应措施。各成员单位在接到预警发布指令后，要立即组织开展应对工作，进行督导检查，并及时向县应急指挥部办公室报告应急响应措施落实情况。</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机动车限行措施的执行起始按照当次预警公安部门的具体通知执行。中小学及幼儿园停课措施的执行起始时间按照当次预警教育部门的具体通知执行。</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有关部门要加强对本行业应急响应措施实施的组织管理，并进行督导检查。县人民政府、通城经济开发区管理委员会要按照属地管理原则，组织本</w:t>
      </w:r>
      <w:r>
        <w:rPr>
          <w:rFonts w:hint="eastAsia" w:ascii="Times New Roman" w:hAnsi="Times New Roman" w:eastAsia="仿宋" w:cs="Times New Roman"/>
          <w:sz w:val="30"/>
          <w:szCs w:val="30"/>
        </w:rPr>
        <w:t>区域</w:t>
      </w:r>
      <w:r>
        <w:rPr>
          <w:rFonts w:ascii="Times New Roman" w:hAnsi="Times New Roman" w:eastAsia="仿宋" w:cs="Times New Roman"/>
          <w:sz w:val="30"/>
          <w:szCs w:val="30"/>
        </w:rPr>
        <w:t>和所属相关部门严格落实应急响应措施，并进行督导检查。</w:t>
      </w:r>
    </w:p>
    <w:p>
      <w:pPr>
        <w:pStyle w:val="27"/>
        <w:ind w:firstLine="161"/>
        <w:rPr>
          <w:rFonts w:eastAsia="仿宋" w:cs="Times New Roman"/>
        </w:rPr>
      </w:pPr>
      <w:bookmarkStart w:id="56" w:name="_Toc127188322"/>
      <w:bookmarkStart w:id="57" w:name="_Toc529367592"/>
      <w:r>
        <w:rPr>
          <w:rFonts w:eastAsia="仿宋" w:cs="Times New Roman"/>
        </w:rPr>
        <w:t>5.2 响应指挥与组织实施</w:t>
      </w:r>
      <w:bookmarkEnd w:id="56"/>
      <w:bookmarkEnd w:id="57"/>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预警信息一经发布，立即启动应急响应，县重污染天气应急指挥部各成员单位在收到应急预警信息后，立即启动各自保障预案和实施方案，按照保障预案、实施方案落实应急响应措施；县重污染天气应急指挥部督查组将在预警信息发布后适时对县重污染天气应急指挥部各成员单位应急响应措施落实情况进行监督检查。</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当启动全县重污染天气预警时，由县政府重污染天气应急指挥部负责全面指挥与协调。</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咸宁市启动重污染天气预警后，我县应及时启动相应等级的应急预警，组织成员单位按照各自的预案和处置规程迅速响应。</w:t>
      </w:r>
    </w:p>
    <w:p>
      <w:pPr>
        <w:pStyle w:val="27"/>
        <w:ind w:firstLine="161"/>
        <w:rPr>
          <w:rFonts w:eastAsia="仿宋" w:cs="Times New Roman"/>
        </w:rPr>
      </w:pPr>
      <w:bookmarkStart w:id="58" w:name="_Toc127188323"/>
      <w:bookmarkStart w:id="59" w:name="_Toc529367593"/>
      <w:r>
        <w:rPr>
          <w:rFonts w:eastAsia="仿宋" w:cs="Times New Roman"/>
        </w:rPr>
        <w:t>5.3 应急监测</w:t>
      </w:r>
      <w:bookmarkEnd w:id="58"/>
    </w:p>
    <w:p>
      <w:pPr>
        <w:pStyle w:val="30"/>
        <w:rPr>
          <w:rFonts w:eastAsia="仿宋" w:cs="Times New Roman"/>
        </w:rPr>
      </w:pPr>
      <w:r>
        <w:rPr>
          <w:rFonts w:eastAsia="仿宋" w:cs="Times New Roman"/>
        </w:rPr>
        <w:t>应急响应状态下，咸宁市生态环境局通城县分局和县气象局分别按照有关规定开展环境空气质量监测空气污染气象条件分析和预报，并建立日常会商制度，将相关信息报告县应急指挥部办公室。</w:t>
      </w:r>
    </w:p>
    <w:p>
      <w:pPr>
        <w:pStyle w:val="27"/>
        <w:ind w:firstLine="161"/>
        <w:rPr>
          <w:rFonts w:eastAsia="仿宋" w:cs="Times New Roman"/>
        </w:rPr>
      </w:pPr>
      <w:bookmarkStart w:id="60" w:name="_Toc127188324"/>
      <w:r>
        <w:rPr>
          <w:rFonts w:eastAsia="仿宋" w:cs="Times New Roman"/>
        </w:rPr>
        <w:t xml:space="preserve">5.4 </w:t>
      </w:r>
      <w:r>
        <w:rPr>
          <w:rFonts w:hint="eastAsia" w:eastAsia="仿宋" w:cs="Times New Roman"/>
        </w:rPr>
        <w:t>应急</w:t>
      </w:r>
      <w:r>
        <w:rPr>
          <w:rFonts w:eastAsia="仿宋" w:cs="Times New Roman"/>
        </w:rPr>
        <w:t>响应措施</w:t>
      </w:r>
      <w:bookmarkEnd w:id="59"/>
      <w:bookmarkEnd w:id="60"/>
    </w:p>
    <w:p>
      <w:pPr>
        <w:pStyle w:val="30"/>
        <w:rPr>
          <w:rFonts w:eastAsia="仿宋" w:cs="Times New Roman"/>
        </w:rPr>
      </w:pPr>
      <w:r>
        <w:rPr>
          <w:rFonts w:eastAsia="仿宋" w:cs="Times New Roman"/>
        </w:rPr>
        <w:t>县重污染天气应急指挥部根据监测信息确定首要污染物及大气重污染区域等实际情况，针对首要污染物的特征、预警级别，采取相应的应急响应措施，主要包括健康防护指引、建议性减排措施和强制性减排措施。</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因沙尘暴、臭氧等气态污染物特殊气候或原因引发的空气重污染，及时发布健康防护提示。县人民政府、通城经济开发区管委会应当根据实际需要，选择性地采取一种或多种措施进行应急响应，在保障城镇正常运行的前提下，鼓励采取更加严格的强制性污染减排措施实施高级别应急响应，并明确启动响应的时间、范围、通知方式、监督内容等。</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（1）针对不同首要污染物，实施重污染天气分类分级应急管控措施：当首要污染物为细颗粒物（PM</w:t>
      </w:r>
      <w:r>
        <w:rPr>
          <w:rFonts w:ascii="Times New Roman" w:hAnsi="Times New Roman" w:eastAsia="仿宋" w:cs="Times New Roman"/>
          <w:sz w:val="30"/>
          <w:szCs w:val="30"/>
          <w:vertAlign w:val="subscript"/>
        </w:rPr>
        <w:t>2.5</w:t>
      </w:r>
      <w:r>
        <w:rPr>
          <w:rFonts w:ascii="Times New Roman" w:hAnsi="Times New Roman" w:eastAsia="仿宋" w:cs="Times New Roman"/>
          <w:sz w:val="30"/>
          <w:szCs w:val="30"/>
        </w:rPr>
        <w:t>）时，重点控制颗粒物、二氧化硫（SO</w:t>
      </w:r>
      <w:r>
        <w:rPr>
          <w:rFonts w:ascii="Times New Roman" w:hAnsi="Times New Roman" w:eastAsia="仿宋" w:cs="Times New Roman"/>
          <w:sz w:val="30"/>
          <w:szCs w:val="30"/>
          <w:vertAlign w:val="subscript"/>
        </w:rPr>
        <w:t>2</w:t>
      </w:r>
      <w:r>
        <w:rPr>
          <w:rFonts w:ascii="Times New Roman" w:hAnsi="Times New Roman" w:eastAsia="仿宋" w:cs="Times New Roman"/>
          <w:sz w:val="30"/>
          <w:szCs w:val="30"/>
        </w:rPr>
        <w:t>）、氮氧化物（NO</w:t>
      </w:r>
      <w:r>
        <w:rPr>
          <w:rFonts w:ascii="Times New Roman" w:hAnsi="Times New Roman" w:eastAsia="仿宋" w:cs="Times New Roman"/>
          <w:sz w:val="30"/>
          <w:szCs w:val="30"/>
          <w:vertAlign w:val="subscript"/>
        </w:rPr>
        <w:t>x</w:t>
      </w:r>
      <w:r>
        <w:rPr>
          <w:rFonts w:ascii="Times New Roman" w:hAnsi="Times New Roman" w:eastAsia="仿宋" w:cs="Times New Roman"/>
          <w:sz w:val="30"/>
          <w:szCs w:val="30"/>
        </w:rPr>
        <w:t>）排放，其次是挥发性有机物（VOCs）排放；当首要污染物为臭氧（O</w:t>
      </w:r>
      <w:r>
        <w:rPr>
          <w:rFonts w:ascii="Times New Roman" w:hAnsi="Times New Roman" w:eastAsia="仿宋" w:cs="Times New Roman"/>
          <w:sz w:val="30"/>
          <w:szCs w:val="30"/>
          <w:vertAlign w:val="subscript"/>
        </w:rPr>
        <w:t>3</w:t>
      </w:r>
      <w:r>
        <w:rPr>
          <w:rFonts w:ascii="Times New Roman" w:hAnsi="Times New Roman" w:eastAsia="仿宋" w:cs="Times New Roman"/>
          <w:sz w:val="30"/>
          <w:szCs w:val="30"/>
        </w:rPr>
        <w:t>）时，重点控制VOCs和NOx排放。</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咸宁市生态环境局通城分局、通城县应急管理局对纳入重污染天气应急减排重点行业的工业企业，根据《重污染天气重点行业应急减排措施制定技术指南（2020修订版）》督办指导各企业制定应急减排“一厂一策”减排清单。</w:t>
      </w:r>
    </w:p>
    <w:p>
      <w:pPr>
        <w:pStyle w:val="32"/>
        <w:ind w:firstLine="422"/>
        <w:rPr>
          <w:rFonts w:eastAsia="仿宋" w:cs="Times New Roman"/>
        </w:rPr>
      </w:pPr>
      <w:bookmarkStart w:id="61" w:name="_Toc529367594"/>
      <w:bookmarkStart w:id="62" w:name="_Toc127188325"/>
      <w:r>
        <w:rPr>
          <w:rFonts w:eastAsia="仿宋" w:cs="Times New Roman"/>
        </w:rPr>
        <w:t>5.4.1 III级响应措施</w:t>
      </w:r>
      <w:bookmarkEnd w:id="61"/>
      <w:bookmarkEnd w:id="62"/>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5.4.1.1 健康防护指引</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（1）提醒儿童、老年人和患有呼吸系统、心脑血管病及其他慢性疾病的易感人群尽量留在室内，避免户外活动，尽量减少开窗通风时间。</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（2）提醒一般人群减少或避免户外活动，如不可避免建议采取佩戴口罩、缩短户外工作时间等必要的防护措施。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（3）室外工作、执勤、作业、活动等人员可以采取佩戴口罩、缩短户外工作时间等必要的防护措施。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（4）建议或要求中小学、幼儿园停止室外课程及活动。</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（5）医疗卫生机构积极开展防止大气污染对人体健康产生不良影响的知识宣传与咨询；加强对呼吸类疾病患者的就医指导和诊疗保障。</w:t>
      </w:r>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5.4.1.2 建议性污染减排措施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（1）倡导公众节约用电。</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（2）倡导公众绿色出行，尽量乘坐公共交通工具或新能源汽 车等出行，驻车时及时熄火，减少车辆原地怠速运行时间。</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（3）加强道路扬尘防控和建筑工地扬尘防控，加大道路及施工工地的洒水降尘频次。</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（4）加大施工工地洒水降尘频次，加强施工扬尘管理。</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（5）倡导公众绿色消费，单位和公众尽量减少含挥发性有机 物的涂料、油漆、溶剂等原材料及产品的使用。</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（6）提倡机动车停车及时熄火，减少车辆原地怠速运行。</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（7）倡导大气污染物排放单位根据实际情况控制污染工序生 产，主动减排，可在达标排放基础上提高污染治理设施效率， 调整污染工序的生产时间，进一步减少污染物排放。</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（8）倡导公众和机关、企事业单位绿色生活，尽量减少能源 消耗，夏季空调温度设定为26摄氏度以上，冬季设定为18摄氏度以下，空调运行期间保持门窗关闭；减少电脑、打印机、 复印机、传真机等办公设备待机能耗；充分利用自然光照明， 推广使用节能照明灯具，尽可能减少照明数量和时间。</w:t>
      </w:r>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5.4.1.3 强制性污染减排措施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按照县重污染天气应急减排清单，在确保安全生产的前 提下，有计划地实施对应预警级别下的应急减排措施，减少污染物排放。在保障正常运行的条件下，县人民政府应督导落实以下措施：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（1）工业源减排措施。</w:t>
      </w:r>
      <w:r>
        <w:rPr>
          <w:rFonts w:hint="eastAsia" w:ascii="Times New Roman" w:hAnsi="Times New Roman" w:eastAsia="仿宋" w:cs="Times New Roman"/>
          <w:sz w:val="30"/>
          <w:szCs w:val="30"/>
        </w:rPr>
        <w:t>在确保安全生产的前提下，对纳入重污染天气应急减排清单的工业企业实施黄色预警等级下相应减排比例的污染物管控措施，并检查落实情况。限产优先采用部分生产线停产的方式实现，生产工序不可中断或短时间内难以停产的行业，在重污染频发的秋冬季期间，可提前调整生产计划，确保预警期间企业能够落实相应的应急减排措施。加大对限排工业企业的检查频次和监察力度，确保大气污染防治设施正常运行，污染物稳定达标排放；涉挥发性有机物排放工序确保稳定达标排放。</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（2）扬尘源减排措施。执行县重污染天气扬尘源应急减排清单对应预警级别减排措施。加大施工工地洒水降尘频次，停 止除特殊工艺、应急抢险、民生保障工程外的施工工地土石方作业；停止建筑拆除、打磨切割建材、场地凿岩打桩、喷涂粉刷、护坡喷浆、现场混凝土搅拌等易产生扬尘污染的作业；矿山、砂石料厂、石材厂、石板厂等停止露天作业。在日常道路保洁频次的基础上，主干道和易产生扬尘路段应增加清扫、洒水、喷雾等作业频次和作业范围。</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（3）移动源减排措施。执行县重污染天气移动源应急减排清单对应预警级别减排措施。除应急抢险、民生保障工程外， 未安装密闭装置易产生遗撒的运输车辆禁止上路行驶。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移动源除明确停驶方案外，还应严格执行源头管控有关要求，包括加强油品储运销环节监管和加油加气站油气回收系统的使用情况排查、开展油品检测、抽查机动车销售企业环保达标情况，以及加强柴油货车路检路查以及集中使用、停放地入户检查的频次和力度等。</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（4）其他减排措施。加强环境执法监管，严格落实减排措施。加大对燃煤锅炉、施工场地、机动车排放、工业企业等重点大气污染源的执法检查频次和监察力度，确保工业企业大气污染 防治设施正常运行，大气污染物稳定达标排放；督促建设施工现场扬尘污染控制。严格落实农作物秸秆及杂物禁烧措施，加大餐饮油烟处理设施正常运行监管，禁止露天烧烤，按照本县人民政府公告要求禁止燃放烟花爆竹。</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（5）保民生等特殊情况管控要求。县人民政府确定的重点建设项目、民生保障工程、应急抢险施工等根据需要可继续作业，但应严格落实“六个百分之百”(工地周边百分之百围挡、物 料堆放百分之百覆盖、出入车辆百分之百冲洗、施工现场地面百分之百硬化、拆迁工地百分之百湿法作业、渣土车辆百分之百密闭运输)要求，裸露场地全部苫盖，增加酒水降尘频次。</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（6）在具备气象条件前提下，适时开展人工增雨（雪）作业。</w:t>
      </w:r>
    </w:p>
    <w:p>
      <w:pPr>
        <w:pStyle w:val="5"/>
        <w:ind w:firstLine="422"/>
        <w:rPr>
          <w:rFonts w:ascii="Times New Roman" w:hAnsi="Times New Roman" w:eastAsia="仿宋" w:cs="Times New Roman"/>
        </w:rPr>
      </w:pPr>
      <w:bookmarkStart w:id="63" w:name="_Toc529367595"/>
      <w:bookmarkStart w:id="64" w:name="_Toc127188326"/>
      <w:r>
        <w:rPr>
          <w:rFonts w:ascii="Times New Roman" w:hAnsi="Times New Roman" w:eastAsia="仿宋" w:cs="Times New Roman"/>
        </w:rPr>
        <w:t xml:space="preserve">5.4.2 </w:t>
      </w:r>
      <w:r>
        <w:rPr>
          <w:rFonts w:ascii="Times New Roman" w:hAnsi="Times New Roman" w:eastAsia="仿宋" w:cs="Times New Roman"/>
        </w:rPr>
        <w:fldChar w:fldCharType="begin"/>
      </w:r>
      <w:r>
        <w:rPr>
          <w:rFonts w:ascii="Times New Roman" w:hAnsi="Times New Roman" w:eastAsia="仿宋" w:cs="Times New Roman"/>
        </w:rPr>
        <w:instrText xml:space="preserve"> = 2 \* ROMAN </w:instrText>
      </w:r>
      <w:r>
        <w:rPr>
          <w:rFonts w:ascii="Times New Roman" w:hAnsi="Times New Roman" w:eastAsia="仿宋" w:cs="Times New Roman"/>
        </w:rPr>
        <w:fldChar w:fldCharType="separate"/>
      </w:r>
      <w:r>
        <w:rPr>
          <w:rFonts w:ascii="Times New Roman" w:hAnsi="Times New Roman" w:eastAsia="仿宋" w:cs="Times New Roman"/>
        </w:rPr>
        <w:t>II</w:t>
      </w:r>
      <w:r>
        <w:rPr>
          <w:rFonts w:ascii="Times New Roman" w:hAnsi="Times New Roman" w:eastAsia="仿宋" w:cs="Times New Roman"/>
        </w:rPr>
        <w:fldChar w:fldCharType="end"/>
      </w:r>
      <w:r>
        <w:rPr>
          <w:rFonts w:ascii="Times New Roman" w:hAnsi="Times New Roman" w:eastAsia="仿宋" w:cs="Times New Roman"/>
        </w:rPr>
        <w:t>级响应措施</w:t>
      </w:r>
      <w:bookmarkEnd w:id="63"/>
      <w:bookmarkEnd w:id="64"/>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5.4.2.1 健康防护指引</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在执行</w:t>
      </w:r>
      <w:r>
        <w:rPr>
          <w:rFonts w:hint="eastAsia" w:ascii="宋体" w:hAnsi="宋体" w:eastAsia="宋体" w:cs="宋体"/>
          <w:sz w:val="30"/>
          <w:szCs w:val="30"/>
        </w:rPr>
        <w:t>Ⅲ</w:t>
      </w:r>
      <w:r>
        <w:rPr>
          <w:rFonts w:ascii="Times New Roman" w:hAnsi="Times New Roman" w:eastAsia="仿宋" w:cs="Times New Roman"/>
          <w:sz w:val="30"/>
          <w:szCs w:val="30"/>
        </w:rPr>
        <w:t>级防护指引的基础上，增加</w:t>
      </w:r>
      <w:r>
        <w:rPr>
          <w:rFonts w:hint="eastAsia" w:ascii="Times New Roman" w:hAnsi="Times New Roman" w:eastAsia="仿宋" w:cs="Times New Roman"/>
          <w:sz w:val="30"/>
          <w:szCs w:val="30"/>
        </w:rPr>
        <w:t>或调整</w:t>
      </w:r>
      <w:r>
        <w:rPr>
          <w:rFonts w:ascii="Times New Roman" w:hAnsi="Times New Roman" w:eastAsia="仿宋" w:cs="Times New Roman"/>
          <w:sz w:val="30"/>
          <w:szCs w:val="30"/>
        </w:rPr>
        <w:t>以下措施：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（1）中小学、幼儿园可采取弹性教学，停止室外课程及活动。</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（2）停止举办露天比赛等大型群众性户外活动。</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（3）医疗机构增设相关疾病门诊、急诊，延长工作时间。</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（4）有关政府部门、事业单位经本级党委、政府批准后可根据重污染天气情实际、应急强制响应措施，采取调休、错峰上下班、远程办公等弹性工作制；企业可自主决定弹性工作制。</w:t>
      </w:r>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5.4.2.2 建议性减排措施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在执行</w:t>
      </w:r>
      <w:r>
        <w:rPr>
          <w:rFonts w:hint="eastAsia" w:ascii="宋体" w:hAnsi="宋体" w:eastAsia="宋体" w:cs="宋体"/>
          <w:sz w:val="30"/>
          <w:szCs w:val="30"/>
        </w:rPr>
        <w:t>Ⅲ</w:t>
      </w:r>
      <w:r>
        <w:rPr>
          <w:rFonts w:ascii="Times New Roman" w:hAnsi="Times New Roman" w:eastAsia="仿宋" w:cs="Times New Roman"/>
          <w:sz w:val="30"/>
          <w:szCs w:val="30"/>
        </w:rPr>
        <w:t>级建议性减排措施的基础上，增加以下措施：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（1）倡导停止一切装修、喷漆等民用排放挥发性有机化合物行为。</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（2）公众和机关、企事业单位尽量减少能源消耗，夏季空调温度设定为26摄氏度以上，冬季设定为18摄氏度以下。</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（3）停止开放除核心功能区以外的景观灯光，缩短商场、超 市等公众聚集的大型服务设施营业时间。</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（4）倡导工业锅炉使用预先储存的低灰分(&lt;15%) 和低硫分(&lt;0.7%)含量燃料。</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（5）县交通运输部门加大公共交通运力保障，合理增加城市主干道的公共交通工具的营运频次和营运时间；合理安排，优先使用新能源、天然气等公共交通工具，减少柴油车辆的使用。</w:t>
      </w:r>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5.4.2.3 强制性减排措施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在执行</w:t>
      </w:r>
      <w:r>
        <w:rPr>
          <w:rFonts w:hint="eastAsia" w:ascii="宋体" w:hAnsi="宋体" w:eastAsia="宋体" w:cs="宋体"/>
          <w:sz w:val="30"/>
          <w:szCs w:val="30"/>
        </w:rPr>
        <w:t>Ⅲ</w:t>
      </w:r>
      <w:r>
        <w:rPr>
          <w:rFonts w:ascii="Times New Roman" w:hAnsi="Times New Roman" w:eastAsia="仿宋" w:cs="Times New Roman"/>
          <w:sz w:val="30"/>
          <w:szCs w:val="30"/>
        </w:rPr>
        <w:t>级强制性减排措施的基础上，增加以下措施：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（1）对纳入重污染天气重点工业企业应急管控清单的工业企业实施橙色预警等级下相应减排比例的污染物管控措施，并检查落实情况。</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（2）停止室外喷涂、粉刷、切割、护坡喷浆作业。工业企业不得开停车作业与检修放空作业，船舶修造、汽车维修企业暂停喷涂作业。</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（3）停止市政道路维修、改造工程、管线维护维修工程和单独建设的燃气、热力管线工程施工。</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（4）停止建筑拆除施工作业，停止所有施工工地的土石方（包括停止土石方开挖、回填、场内倒运、掺拌石灰、混凝土剔凿等作业）开挖规模，停止建筑工程配套道路和管沟开挖作业。</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（5）禁止运输散装物料、煤、焦、渣、沙土和土方等运输车辆进入中心城区。</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（6）易产生扬尘污染的干散货码头、堆场停止作业，并做好场地洒水降尘工作。</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（7）混凝土搅拌站和砂浆搅拌站停止生产。</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8）施工工地、工业企业厂区和工业园区内应停止使用国二及以下排放标准非道路移动机械(清洁能源和紧急检修作业机械除外);矿山(含煤矿)、洗煤厂、港口、物流(除民生保障类)等涉及大宗物料运输(日载货车辆进出10辆次及以上) 的单位，应停止使用国四及以下排放标准重型载货车辆(含燃气)运输(特种车辆、危险化学品车辆等除外)。</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（9）组织广播、电视等媒体安排整点时间播报重污染天气预警信息，并跟踪报道重污染天气应急响应情况。</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（10）开展全区秸秆禁烧专项检查；加大对露天烧烤、露天焚烧树枝树叶及其他废弃物执法检查频次；组织开展对沿途遗撒等违法行为的执法检查；查禁市场摊区商亭使用燃煤小炉子。</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（11）加大对生产、加工、销售不符合国家规定质量标准的商品煤和不符合国家现行阶段标准的车用成品油的行为的查处力度，油气回收设施不符合规范要求的加油站暂停运营。</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（12）增加白天公交运力。</w:t>
      </w:r>
    </w:p>
    <w:p>
      <w:pPr>
        <w:pStyle w:val="5"/>
        <w:ind w:firstLine="422"/>
        <w:rPr>
          <w:rFonts w:ascii="Times New Roman" w:hAnsi="Times New Roman" w:eastAsia="仿宋" w:cs="Times New Roman"/>
        </w:rPr>
      </w:pPr>
      <w:bookmarkStart w:id="65" w:name="_Toc127188327"/>
      <w:bookmarkStart w:id="66" w:name="_Toc529367596"/>
      <w:r>
        <w:rPr>
          <w:rFonts w:ascii="Times New Roman" w:hAnsi="Times New Roman" w:eastAsia="仿宋" w:cs="Times New Roman"/>
        </w:rPr>
        <w:t xml:space="preserve">5.4.3 </w:t>
      </w:r>
      <w:r>
        <w:rPr>
          <w:rFonts w:ascii="Times New Roman" w:hAnsi="Times New Roman" w:eastAsia="仿宋" w:cs="Times New Roman"/>
        </w:rPr>
        <w:fldChar w:fldCharType="begin"/>
      </w:r>
      <w:r>
        <w:rPr>
          <w:rFonts w:ascii="Times New Roman" w:hAnsi="Times New Roman" w:eastAsia="仿宋" w:cs="Times New Roman"/>
        </w:rPr>
        <w:instrText xml:space="preserve"> = 1 \* ROMAN </w:instrText>
      </w:r>
      <w:r>
        <w:rPr>
          <w:rFonts w:ascii="Times New Roman" w:hAnsi="Times New Roman" w:eastAsia="仿宋" w:cs="Times New Roman"/>
        </w:rPr>
        <w:fldChar w:fldCharType="separate"/>
      </w:r>
      <w:r>
        <w:rPr>
          <w:rFonts w:ascii="Times New Roman" w:hAnsi="Times New Roman" w:eastAsia="仿宋" w:cs="Times New Roman"/>
        </w:rPr>
        <w:t>I</w:t>
      </w:r>
      <w:r>
        <w:rPr>
          <w:rFonts w:ascii="Times New Roman" w:hAnsi="Times New Roman" w:eastAsia="仿宋" w:cs="Times New Roman"/>
        </w:rPr>
        <w:fldChar w:fldCharType="end"/>
      </w:r>
      <w:r>
        <w:rPr>
          <w:rFonts w:ascii="Times New Roman" w:hAnsi="Times New Roman" w:eastAsia="仿宋" w:cs="Times New Roman"/>
        </w:rPr>
        <w:t>级响应措施</w:t>
      </w:r>
      <w:bookmarkEnd w:id="65"/>
      <w:bookmarkEnd w:id="66"/>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5.4.3.1 健康防护指引</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在执行</w:t>
      </w:r>
      <w:r>
        <w:rPr>
          <w:rFonts w:hint="eastAsia" w:ascii="宋体" w:hAnsi="宋体" w:eastAsia="宋体" w:cs="宋体"/>
          <w:sz w:val="30"/>
          <w:szCs w:val="30"/>
        </w:rPr>
        <w:t>Ⅱ</w:t>
      </w:r>
      <w:r>
        <w:rPr>
          <w:rFonts w:ascii="Times New Roman" w:hAnsi="Times New Roman" w:eastAsia="仿宋" w:cs="Times New Roman"/>
          <w:sz w:val="30"/>
          <w:szCs w:val="30"/>
        </w:rPr>
        <w:t>级健康防护指引的基础上，增加以下措施：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（1）中小学、幼儿园停课。</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（2）停止一切户外大型活动。</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（3）一般人群避免户外活动，室外作业人员停止或减少室外作业，并加强防护。</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（4）生态环境、卫生健康、教育等部门加强对重污染天气应对、健康防护等方面科普知识的宣传。</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（5）各医疗卫生机构增设相关疾病门诊，增加医务人员，24小时值班。</w:t>
      </w:r>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5.4.3.2 建议性污染减排措施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在执行</w:t>
      </w:r>
      <w:r>
        <w:rPr>
          <w:rFonts w:hint="eastAsia" w:ascii="宋体" w:hAnsi="宋体" w:eastAsia="宋体" w:cs="宋体"/>
          <w:sz w:val="30"/>
          <w:szCs w:val="30"/>
        </w:rPr>
        <w:t>Ⅱ</w:t>
      </w:r>
      <w:r>
        <w:rPr>
          <w:rFonts w:ascii="Times New Roman" w:hAnsi="Times New Roman" w:eastAsia="仿宋" w:cs="Times New Roman"/>
          <w:sz w:val="30"/>
          <w:szCs w:val="30"/>
        </w:rPr>
        <w:t>级建议性减排措施的基础上，增加以下措施：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（1）建议企事业单位根据实际情况，采取调休、错峰上下班、 远程办公等弹性工作制。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（2）倡导过境的柴油货车绕行，避开主城区行驶。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（3）向县政府、市政府报告通城县应对重污染天气的</w:t>
      </w:r>
      <w:r>
        <w:rPr>
          <w:rFonts w:hint="eastAsia" w:ascii="宋体" w:hAnsi="宋体" w:eastAsia="宋体" w:cs="宋体"/>
          <w:sz w:val="30"/>
          <w:szCs w:val="30"/>
        </w:rPr>
        <w:t>Ⅰ</w:t>
      </w:r>
      <w:r>
        <w:rPr>
          <w:rFonts w:ascii="Times New Roman" w:hAnsi="Times New Roman" w:eastAsia="仿宋" w:cs="Times New Roman"/>
          <w:sz w:val="30"/>
          <w:szCs w:val="30"/>
        </w:rPr>
        <w:t>级应急响应情况。</w:t>
      </w:r>
    </w:p>
    <w:p>
      <w:pPr>
        <w:ind w:firstLine="602" w:firstLineChars="200"/>
        <w:rPr>
          <w:rFonts w:ascii="Times New Roman" w:hAnsi="Times New Roman" w:eastAsia="仿宋" w:cs="Times New Roman"/>
          <w:b/>
          <w:sz w:val="30"/>
          <w:szCs w:val="30"/>
        </w:rPr>
      </w:pPr>
      <w:r>
        <w:rPr>
          <w:rFonts w:ascii="Times New Roman" w:hAnsi="Times New Roman" w:eastAsia="仿宋" w:cs="Times New Roman"/>
          <w:b/>
          <w:sz w:val="30"/>
          <w:szCs w:val="30"/>
        </w:rPr>
        <w:t>5.4.3.3 强制性减排措施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在执行</w:t>
      </w:r>
      <w:r>
        <w:rPr>
          <w:rFonts w:hint="eastAsia" w:ascii="宋体" w:hAnsi="宋体" w:eastAsia="宋体" w:cs="宋体"/>
          <w:sz w:val="30"/>
          <w:szCs w:val="30"/>
        </w:rPr>
        <w:t>Ⅱ</w:t>
      </w:r>
      <w:r>
        <w:rPr>
          <w:rFonts w:ascii="Times New Roman" w:hAnsi="Times New Roman" w:eastAsia="仿宋" w:cs="Times New Roman"/>
          <w:sz w:val="30"/>
          <w:szCs w:val="30"/>
        </w:rPr>
        <w:t>级强制性减排措施的基础上，增加以下措施：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（1）对纳入重污染天气重点工业企业应急管控清单的工业企业实施红色预警等级下相应减排比例的污染物管控措施，并检查落实情况。</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（2）城市主要干道的机扫、吸扫、冲洗等清洁频次增加100%以上。</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（3）禁止工程渣土、建筑垃圾运输、散装建筑材料车辆上路行驶。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（4）县区内实行限制性交通管制。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（5）施工工地、工业企业厂区和工业园区内应停止使用国三 及以下非道路移动机械(清洁能源和紧急检修作业机械除外)。</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（6）本县内实行限制性交通管制，中心城区禁行柴油货车</w:t>
      </w:r>
      <w:r>
        <w:rPr>
          <w:rFonts w:hint="eastAsia" w:ascii="Times New Roman" w:hAnsi="Times New Roman" w:eastAsia="仿宋" w:cs="Times New Roman"/>
          <w:sz w:val="30"/>
          <w:szCs w:val="30"/>
        </w:rPr>
        <w:t>。</w:t>
      </w:r>
    </w:p>
    <w:p>
      <w:pPr>
        <w:pStyle w:val="5"/>
        <w:ind w:firstLine="422"/>
        <w:rPr>
          <w:rFonts w:ascii="Times New Roman" w:hAnsi="Times New Roman" w:eastAsia="仿宋" w:cs="Times New Roman"/>
        </w:rPr>
      </w:pPr>
      <w:bookmarkStart w:id="67" w:name="_Toc127188328"/>
      <w:r>
        <w:rPr>
          <w:rFonts w:ascii="Times New Roman" w:hAnsi="Times New Roman" w:eastAsia="仿宋" w:cs="Times New Roman"/>
        </w:rPr>
        <w:t>5.4.4补充说明</w:t>
      </w:r>
      <w:bookmarkEnd w:id="67"/>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涉及大气污染物排放的工业企业，应结合实际不断完善自身重污染天气应急预案（响应操作方案），增强应急减排措施的科学性、可操作性和可核实性。政府组织水泥、危险废物处置等大气污染物排放重点企业的应急减排措施，应进行现场核定和专家评审。</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w:t>
      </w:r>
      <w:r>
        <w:rPr>
          <w:rFonts w:hint="eastAsia" w:ascii="宋体" w:hAnsi="宋体" w:eastAsia="宋体" w:cs="宋体"/>
          <w:sz w:val="30"/>
          <w:szCs w:val="30"/>
        </w:rPr>
        <w:t>Ⅱ</w:t>
      </w:r>
      <w:r>
        <w:rPr>
          <w:rFonts w:ascii="Times New Roman" w:hAnsi="Times New Roman" w:eastAsia="仿宋" w:cs="Times New Roman"/>
          <w:sz w:val="30"/>
          <w:szCs w:val="30"/>
        </w:rPr>
        <w:t>级、</w:t>
      </w:r>
      <w:r>
        <w:rPr>
          <w:rFonts w:hint="eastAsia" w:ascii="宋体" w:hAnsi="宋体" w:eastAsia="宋体" w:cs="宋体"/>
          <w:sz w:val="30"/>
          <w:szCs w:val="30"/>
        </w:rPr>
        <w:t>Ⅰ</w:t>
      </w:r>
      <w:r>
        <w:rPr>
          <w:rFonts w:ascii="Times New Roman" w:hAnsi="Times New Roman" w:eastAsia="仿宋" w:cs="Times New Roman"/>
          <w:sz w:val="30"/>
          <w:szCs w:val="30"/>
        </w:rPr>
        <w:t>级应急响应时，公安机关交通管理部门加强城区周边进口警力部署，设置限行提示标志，提示、劝返限行车辆；在城区内通过电子警察和现场检查，严格依法处罚违反限行规定的机动车；对本地车辆在受限时间内驶入城区的，按照驶入劝导告知停驶、二次核查确认驶出、三次依法处罚的方式严格管理。</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w:t>
      </w:r>
      <w:r>
        <w:rPr>
          <w:rFonts w:hint="eastAsia" w:ascii="宋体" w:hAnsi="宋体" w:eastAsia="宋体" w:cs="宋体"/>
          <w:sz w:val="30"/>
          <w:szCs w:val="30"/>
        </w:rPr>
        <w:t>Ⅱ</w:t>
      </w:r>
      <w:r>
        <w:rPr>
          <w:rFonts w:ascii="Times New Roman" w:hAnsi="Times New Roman" w:eastAsia="仿宋" w:cs="Times New Roman"/>
          <w:sz w:val="30"/>
          <w:szCs w:val="30"/>
        </w:rPr>
        <w:t>级、</w:t>
      </w:r>
      <w:r>
        <w:rPr>
          <w:rFonts w:hint="eastAsia" w:ascii="宋体" w:hAnsi="宋体" w:eastAsia="宋体" w:cs="宋体"/>
          <w:sz w:val="30"/>
          <w:szCs w:val="30"/>
        </w:rPr>
        <w:t>Ⅰ</w:t>
      </w:r>
      <w:r>
        <w:rPr>
          <w:rFonts w:ascii="Times New Roman" w:hAnsi="Times New Roman" w:eastAsia="仿宋" w:cs="Times New Roman"/>
          <w:sz w:val="30"/>
          <w:szCs w:val="30"/>
        </w:rPr>
        <w:t>级应急响应有关车辆限行措施中，军队、警务、环境执法、消防、急救、抢险、邮政（快递）、保险勘验救援、民生保障、环卫作业车辆和单位通勤车、公交车、出租车、非本地车辆（如有特殊需要也可实施限行）除外。</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当紧急发布橙色和红色预警信息时，当天不采取机动车限行和停课措施。</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施工工地和应急减排企业名单实行动态调整。</w:t>
      </w:r>
    </w:p>
    <w:p>
      <w:pPr>
        <w:pStyle w:val="27"/>
        <w:ind w:firstLine="161"/>
        <w:rPr>
          <w:rFonts w:eastAsia="仿宋" w:cs="Times New Roman"/>
        </w:rPr>
      </w:pPr>
      <w:bookmarkStart w:id="68" w:name="_Toc127188329"/>
      <w:r>
        <w:rPr>
          <w:rFonts w:eastAsia="仿宋" w:cs="Times New Roman"/>
        </w:rPr>
        <w:t>5.5县级响应措施</w:t>
      </w:r>
      <w:bookmarkEnd w:id="68"/>
    </w:p>
    <w:p>
      <w:pPr>
        <w:pStyle w:val="5"/>
        <w:ind w:firstLine="422"/>
        <w:rPr>
          <w:rFonts w:ascii="Times New Roman" w:hAnsi="Times New Roman" w:eastAsia="仿宋" w:cs="Times New Roman"/>
        </w:rPr>
      </w:pPr>
      <w:bookmarkStart w:id="69" w:name="_Toc127188330"/>
      <w:r>
        <w:rPr>
          <w:rFonts w:ascii="Times New Roman" w:hAnsi="Times New Roman" w:eastAsia="仿宋" w:cs="Times New Roman"/>
        </w:rPr>
        <w:t>5.5.1联防联动</w:t>
      </w:r>
      <w:bookmarkEnd w:id="69"/>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级预警发布后，相关乡镇及相关部门应启动应急预案，县相关部门启动应急方案，企事业单位启动应急响应操作方案，采取必要的响应措施。要加强与周边县级的协作，共同做好重污染天气应对工作，必要时开展区域应急联动。重大活动期间，根据环境空气质量改善要求，采取相应的响应措施。咸宁市生态环境局</w:t>
      </w:r>
      <w:r>
        <w:rPr>
          <w:rFonts w:hint="eastAsia" w:ascii="Times New Roman" w:hAnsi="Times New Roman" w:eastAsia="仿宋" w:cs="Times New Roman"/>
          <w:sz w:val="30"/>
          <w:szCs w:val="30"/>
        </w:rPr>
        <w:t>通城县</w:t>
      </w:r>
      <w:r>
        <w:rPr>
          <w:rFonts w:ascii="Times New Roman" w:hAnsi="Times New Roman" w:eastAsia="仿宋" w:cs="Times New Roman"/>
          <w:sz w:val="30"/>
          <w:szCs w:val="30"/>
        </w:rPr>
        <w:t>分局、县气象局加强监测预警会商，督导各相区域做好监测预警，县气象局指导相关乡镇适时实施人工降雨作业。</w:t>
      </w:r>
    </w:p>
    <w:p>
      <w:pPr>
        <w:pStyle w:val="5"/>
        <w:ind w:firstLine="422"/>
        <w:rPr>
          <w:rFonts w:ascii="Times New Roman" w:hAnsi="Times New Roman" w:eastAsia="仿宋" w:cs="Times New Roman"/>
        </w:rPr>
      </w:pPr>
      <w:r>
        <w:rPr>
          <w:rFonts w:ascii="Times New Roman" w:hAnsi="Times New Roman" w:eastAsia="仿宋" w:cs="Times New Roman"/>
        </w:rPr>
        <w:t xml:space="preserve"> </w:t>
      </w:r>
      <w:bookmarkStart w:id="70" w:name="_Toc127188331"/>
      <w:r>
        <w:rPr>
          <w:rFonts w:ascii="Times New Roman" w:hAnsi="Times New Roman" w:eastAsia="仿宋" w:cs="Times New Roman"/>
        </w:rPr>
        <w:t>5.5.2监督检查</w:t>
      </w:r>
      <w:bookmarkEnd w:id="70"/>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加强生态环保执法检查力度，督促各地各部门严格落实应 急响应措施。县指挥部派出工作组开展巡查、抽查，对预警期间有关乡镇政府部门和企事业单位应对措施落实情况进行监督检查。</w:t>
      </w:r>
    </w:p>
    <w:p>
      <w:pPr>
        <w:pStyle w:val="27"/>
        <w:ind w:firstLine="161"/>
        <w:rPr>
          <w:rFonts w:eastAsia="仿宋" w:cs="Times New Roman"/>
        </w:rPr>
      </w:pPr>
      <w:bookmarkStart w:id="71" w:name="_Toc127188332"/>
      <w:r>
        <w:rPr>
          <w:rFonts w:eastAsia="仿宋" w:cs="Times New Roman"/>
        </w:rPr>
        <w:t>5.6信息报送</w:t>
      </w:r>
      <w:bookmarkEnd w:id="71"/>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重污染天气应急响应结束后，县重污染天气应急指挥部办公室各成员单位应在24小时内按照职责分工向县应急指挥部办公室报送应急响应情况。</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重污染天气应急指挥部办公室应及时向应急指挥部报告重污染天气应对信息报告。重污染天气应对信息报告分为初报、续报、终报。初报中应包括重污染天气预警级别、主要污染物、采取的应急措施等内容。续报在初报后每天报送，内容包括预警级别变化情况、采取的应急措施和取得的效果等。终报在预警解除后报送，内容包括应急响应终止情况、采取的应急响应措施效果评估情况、下一步工作计划等。</w:t>
      </w:r>
    </w:p>
    <w:p>
      <w:pPr>
        <w:pStyle w:val="27"/>
        <w:ind w:firstLine="161"/>
        <w:rPr>
          <w:rFonts w:eastAsia="仿宋" w:cs="Times New Roman"/>
        </w:rPr>
      </w:pPr>
      <w:bookmarkStart w:id="72" w:name="_Toc127188333"/>
      <w:bookmarkStart w:id="73" w:name="_Toc529367597"/>
      <w:r>
        <w:rPr>
          <w:rFonts w:eastAsia="仿宋" w:cs="Times New Roman"/>
        </w:rPr>
        <w:t>5.7 信息公开</w:t>
      </w:r>
      <w:bookmarkEnd w:id="72"/>
      <w:bookmarkEnd w:id="73"/>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咸宁市生态环境局通城县分局及时向社会发布城市环境空气质量监测数据；县气象局向社会发布气象条件变化情况及预报；其他有关部门按照职责分工，公开重污染天气应急方案或者措施，及时公开发布有关工作信息。县委宣传部充分利用媒体和网络等渠道，加强重污染天气应急工作的宣传、公开，组织统一对外发布。</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信息公开内容应包括重污染天气首要污染物、污染的范围、可能持续的时间、潜在的危险程度，已采取的措施，可能受影 响的区域及需采取的措施和对企业、公众的建议等。</w:t>
      </w:r>
    </w:p>
    <w:p>
      <w:pPr>
        <w:pStyle w:val="27"/>
        <w:ind w:firstLine="161"/>
        <w:rPr>
          <w:rFonts w:eastAsia="仿宋" w:cs="Times New Roman"/>
        </w:rPr>
      </w:pPr>
      <w:bookmarkStart w:id="74" w:name="_Toc529367598"/>
      <w:bookmarkStart w:id="75" w:name="_Toc127188334"/>
      <w:r>
        <w:rPr>
          <w:rFonts w:eastAsia="仿宋" w:cs="Times New Roman"/>
        </w:rPr>
        <w:t>5.8 应急措施的执行与监督</w:t>
      </w:r>
      <w:bookmarkEnd w:id="74"/>
      <w:bookmarkEnd w:id="75"/>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各有关部门、单位收到应急响应指令后，按照本预案和相关工作方案，及时组织落实各项措施，并将应急工作开展情况报县重污染天气应急指挥部办公室。</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各单位应急响应措施执行情况由县</w:t>
      </w:r>
      <w:r>
        <w:rPr>
          <w:rFonts w:hint="eastAsia" w:ascii="Times New Roman" w:hAnsi="Times New Roman" w:eastAsia="仿宋" w:cs="Times New Roman"/>
          <w:sz w:val="30"/>
          <w:szCs w:val="30"/>
        </w:rPr>
        <w:t>生态</w:t>
      </w:r>
      <w:r>
        <w:rPr>
          <w:rFonts w:ascii="Times New Roman" w:hAnsi="Times New Roman" w:eastAsia="仿宋" w:cs="Times New Roman"/>
          <w:sz w:val="30"/>
          <w:szCs w:val="30"/>
        </w:rPr>
        <w:t>环境保护委员会办公室负责组织检查，未按要求执行的单位及个人要予以通报，情节严重的交由县监察委按规定追责问责。</w:t>
      </w:r>
    </w:p>
    <w:p>
      <w:pPr>
        <w:pStyle w:val="27"/>
        <w:ind w:firstLine="161"/>
        <w:rPr>
          <w:rFonts w:eastAsia="仿宋" w:cs="Times New Roman"/>
        </w:rPr>
      </w:pPr>
      <w:bookmarkStart w:id="76" w:name="_Toc127188335"/>
      <w:bookmarkStart w:id="77" w:name="_Toc529367599"/>
      <w:r>
        <w:rPr>
          <w:rFonts w:eastAsia="仿宋" w:cs="Times New Roman"/>
        </w:rPr>
        <w:t>5.9 应急终止</w:t>
      </w:r>
      <w:bookmarkEnd w:id="76"/>
      <w:bookmarkEnd w:id="77"/>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监测预警组和应急专家组根据气象条件和环境空气质量变化趋势进行会商分析，预测空气质量指数（</w:t>
      </w:r>
      <w:r>
        <w:rPr>
          <w:rFonts w:ascii="Times New Roman" w:hAnsi="Times New Roman" w:eastAsia="仿宋" w:cs="Times New Roman"/>
          <w:sz w:val="30"/>
          <w:szCs w:val="30"/>
        </w:rPr>
        <w:t>AQI）将降至或已降至预警条件以下，且预测将持续36小时以上时，向指挥部办公室提出解除预警的建议，指挥部办公室报指挥部审批同意后终止应急状态，发布应急终止信息，转入正常状态。</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当预警解除信息发布后，应急响应同步终止。应急终止后， 县指挥部办公室应通知各相关部门，完成应急处理情况的上报  与发布，并继续进行跟踪监测。</w:t>
      </w:r>
    </w:p>
    <w:p>
      <w:pPr>
        <w:spacing w:line="560" w:lineRule="exact"/>
        <w:ind w:firstLine="560"/>
        <w:rPr>
          <w:rFonts w:ascii="Times New Roman" w:hAnsi="Times New Roman" w:eastAsia="仿宋" w:cs="Times New Roman"/>
          <w:color w:val="000000"/>
          <w:sz w:val="28"/>
          <w:szCs w:val="28"/>
        </w:rPr>
      </w:pPr>
    </w:p>
    <w:p>
      <w:pPr>
        <w:spacing w:line="560" w:lineRule="exact"/>
        <w:ind w:firstLine="560"/>
        <w:rPr>
          <w:rFonts w:ascii="Times New Roman" w:hAnsi="Times New Roman" w:eastAsia="仿宋" w:cs="Times New Roman"/>
          <w:color w:val="000000"/>
          <w:sz w:val="28"/>
          <w:szCs w:val="28"/>
        </w:rPr>
      </w:pPr>
    </w:p>
    <w:p>
      <w:pPr>
        <w:spacing w:line="560" w:lineRule="exact"/>
        <w:ind w:firstLine="560"/>
        <w:rPr>
          <w:rFonts w:ascii="Times New Roman" w:hAnsi="Times New Roman" w:eastAsia="仿宋" w:cs="Times New Roman"/>
          <w:color w:val="000000"/>
          <w:sz w:val="28"/>
          <w:szCs w:val="28"/>
        </w:rPr>
      </w:pPr>
    </w:p>
    <w:p>
      <w:pPr>
        <w:pStyle w:val="25"/>
        <w:rPr>
          <w:rFonts w:eastAsia="仿宋"/>
        </w:rPr>
      </w:pPr>
      <w:bookmarkStart w:id="78" w:name="_Toc127188336"/>
      <w:bookmarkStart w:id="79" w:name="_Toc529367600"/>
      <w:r>
        <w:rPr>
          <w:rFonts w:eastAsia="仿宋"/>
        </w:rPr>
        <w:t>6 总结评估</w:t>
      </w:r>
      <w:bookmarkEnd w:id="78"/>
      <w:bookmarkEnd w:id="79"/>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重污染天气应急响应终止后10日内，督导考核组应及时组织开展重污染天气原因、影响、措施落实以及应急效果等情况的调查评估。对未按要求履行职责的有关单位或个人进行责任追究。根据调查评估结果，向通城县重污染天气应急指挥部提交应急总结报告。通城县重污染天气应急指挥部办公室应将有关情况向各有关单位进行通报，对成员单位的人员、资金、物资、监测、预警、通信等提出应急保障调整要求。各有关单位应根据要求，落实相应的应急保障调整工作。</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各有关部门和企业应做好重污染天气应急过程记录，建立档案制度。</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各级人民政府会对每次重污染天气应急过程进行评估，内容包括：重污染天气发生及预警发布情况，各部门响应情况，企业措施落实情况。</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重污染天气应急响应结束后，由县重污染天气应急指挥部办公室组织有关部门及应急专家组及时开展总结评估，并向市生态环境局报告。总结评估内容重点包括：</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（1）本次重污染天气出现的原因；</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（2）本次重污染天气的污染程度及污染范围；</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（3）收集应急响应措施实施情况信息，分析响应措施的实际效果及产生的社会影响；</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（4）应急响应措施在实际操作过程中遇到的问题及下一步工作建议。</w:t>
      </w:r>
    </w:p>
    <w:p>
      <w:pPr>
        <w:pStyle w:val="25"/>
        <w:rPr>
          <w:rFonts w:eastAsia="仿宋"/>
        </w:rPr>
      </w:pPr>
      <w:bookmarkStart w:id="80" w:name="_Toc127188337"/>
      <w:bookmarkStart w:id="81" w:name="_Toc529367601"/>
      <w:r>
        <w:rPr>
          <w:rFonts w:eastAsia="仿宋"/>
        </w:rPr>
        <w:t>7 应急保障</w:t>
      </w:r>
      <w:bookmarkEnd w:id="80"/>
      <w:bookmarkEnd w:id="81"/>
    </w:p>
    <w:p>
      <w:pPr>
        <w:pStyle w:val="27"/>
        <w:ind w:firstLine="161"/>
        <w:rPr>
          <w:rFonts w:eastAsia="仿宋" w:cs="Times New Roman"/>
        </w:rPr>
      </w:pPr>
      <w:bookmarkStart w:id="82" w:name="_Toc127188338"/>
      <w:bookmarkStart w:id="83" w:name="_Toc529367602"/>
      <w:r>
        <w:rPr>
          <w:rFonts w:eastAsia="仿宋" w:cs="Times New Roman"/>
        </w:rPr>
        <w:t>7.1 人力资源保障</w:t>
      </w:r>
      <w:bookmarkEnd w:id="82"/>
      <w:bookmarkEnd w:id="83"/>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重污染天气应急指挥部统一负责预警及响应工作，组织、指挥、协调和推进辖区内大气污染应急工作。各成员单位是应急措施实施的直接组织者和实施者，要按照各自职责，加强重污染天气应急响应、应急管理、监测预警、专家、医护应急等队伍建设，制定并组织落实本单位、本系统、本行业应急保障方案，提升重污染天气应对能力。强化日常培训，适应重污染天气应对工作的需要。</w:t>
      </w:r>
    </w:p>
    <w:p>
      <w:pPr>
        <w:pStyle w:val="27"/>
        <w:ind w:firstLine="161"/>
        <w:rPr>
          <w:rFonts w:eastAsia="仿宋" w:cs="Times New Roman"/>
        </w:rPr>
      </w:pPr>
      <w:bookmarkStart w:id="84" w:name="_Toc127188339"/>
      <w:r>
        <w:rPr>
          <w:rFonts w:eastAsia="仿宋" w:cs="Times New Roman"/>
        </w:rPr>
        <w:t>7.2资金保障</w:t>
      </w:r>
      <w:bookmarkEnd w:id="84"/>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应</w:t>
      </w:r>
      <w:r>
        <w:rPr>
          <w:rFonts w:ascii="Times New Roman" w:hAnsi="Times New Roman" w:eastAsia="仿宋" w:cs="Times New Roman"/>
          <w:sz w:val="30"/>
          <w:szCs w:val="30"/>
        </w:rPr>
        <w:t>加大重污染天气资金投入力度，将重污染天气监测、预警、应急处置与救援、监督检查各项工作提供资金保障。将空气质量预报、预警、信息发布平台等基础设施建设及运行、维护费用及应急技术支持和应急演练等工作资金，列入各级管理职能部门预算。</w:t>
      </w:r>
    </w:p>
    <w:p>
      <w:pPr>
        <w:pStyle w:val="27"/>
        <w:ind w:firstLine="161"/>
        <w:rPr>
          <w:rFonts w:eastAsia="仿宋" w:cs="Times New Roman"/>
        </w:rPr>
      </w:pPr>
      <w:bookmarkStart w:id="85" w:name="_Toc127188340"/>
      <w:bookmarkStart w:id="86" w:name="_Toc529367603"/>
      <w:r>
        <w:rPr>
          <w:rFonts w:eastAsia="仿宋" w:cs="Times New Roman"/>
        </w:rPr>
        <w:t>7.3 监测与预警能力保障</w:t>
      </w:r>
      <w:bookmarkEnd w:id="85"/>
      <w:bookmarkEnd w:id="86"/>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咸宁市生态环境局通城县分局与县气象局要加强合作，加大资金投入力度，加强空气质量监测能力建设，进一步健全重污染天气监测预报预警体系，开展空气质量预测评估，联合发布空气污染气象条件和空气质量预报，做好重污染天气过程的趋势分析，完善会商研判机制，提高预测预警的准确度。</w:t>
      </w:r>
    </w:p>
    <w:p>
      <w:pPr>
        <w:pStyle w:val="27"/>
        <w:ind w:firstLine="161"/>
        <w:rPr>
          <w:rFonts w:eastAsia="仿宋" w:cs="Times New Roman"/>
        </w:rPr>
      </w:pPr>
      <w:bookmarkStart w:id="87" w:name="_Toc529367604"/>
      <w:bookmarkStart w:id="88" w:name="_Toc127188341"/>
      <w:r>
        <w:rPr>
          <w:rFonts w:eastAsia="仿宋" w:cs="Times New Roman"/>
        </w:rPr>
        <w:t>7.4 通信与信息保障</w:t>
      </w:r>
      <w:bookmarkEnd w:id="87"/>
      <w:bookmarkEnd w:id="88"/>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重污染天气应急指挥部建立健全应急指挥信息系统，及时转发预警启动和解除信息。并充分利用有线、无线等通信设备和媒体，建立各级重污染天气预警和响应联络网络，明确各相关人员联系方式，确保应急指令畅通。</w:t>
      </w:r>
    </w:p>
    <w:p>
      <w:pPr>
        <w:pStyle w:val="27"/>
        <w:ind w:firstLine="161"/>
        <w:rPr>
          <w:rFonts w:eastAsia="仿宋" w:cs="Times New Roman"/>
        </w:rPr>
      </w:pPr>
      <w:bookmarkStart w:id="89" w:name="_Toc127188342"/>
      <w:bookmarkStart w:id="90" w:name="_Toc529367605"/>
      <w:r>
        <w:rPr>
          <w:rFonts w:eastAsia="仿宋" w:cs="Times New Roman"/>
        </w:rPr>
        <w:t>7.5 资金保障</w:t>
      </w:r>
      <w:bookmarkEnd w:id="89"/>
      <w:bookmarkEnd w:id="90"/>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重污染天气应急资金按程序报各级政府批复，并按照县政府有关处置应急情况的财政保障规定执行。</w:t>
      </w:r>
    </w:p>
    <w:p>
      <w:pPr>
        <w:pStyle w:val="27"/>
        <w:ind w:firstLine="161"/>
        <w:rPr>
          <w:rFonts w:eastAsia="仿宋" w:cs="Times New Roman"/>
        </w:rPr>
      </w:pPr>
      <w:bookmarkStart w:id="91" w:name="_Toc127188343"/>
      <w:bookmarkStart w:id="92" w:name="_Toc529367606"/>
      <w:r>
        <w:rPr>
          <w:rFonts w:eastAsia="仿宋" w:cs="Times New Roman"/>
        </w:rPr>
        <w:t>7.6 制度保障</w:t>
      </w:r>
      <w:bookmarkEnd w:id="91"/>
      <w:bookmarkEnd w:id="92"/>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县人民政府应将重污染天气应对管理工作纳入年度大气污染防治工作实施和考核内容，各相关单位要制定严格的管理制度，确保各项措施落实到位。</w:t>
      </w:r>
    </w:p>
    <w:p>
      <w:pPr>
        <w:pStyle w:val="27"/>
        <w:ind w:firstLine="161"/>
        <w:rPr>
          <w:rFonts w:eastAsia="仿宋" w:cs="Times New Roman"/>
        </w:rPr>
      </w:pPr>
      <w:bookmarkStart w:id="93" w:name="_Toc127188344"/>
      <w:r>
        <w:rPr>
          <w:rFonts w:eastAsia="仿宋" w:cs="Times New Roman"/>
        </w:rPr>
        <w:t>7.7 宣传保障</w:t>
      </w:r>
      <w:bookmarkEnd w:id="93"/>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委宣传部负责指导全县开展宣传教育工作；县人民政府负责组织专家解读预警信息和采取的应急措施效果，宣传重污染天气应急工作和公众健康防护知识，引导公众建立合理的心理预期，增强公众的防范意识和相关心理准备，提高公众的防范能力，正确引导舆论导向，客观评价并积极参与到应对工作中；县人民政府应按照有关规定，采取便于公众知晓和查询的方式，公开辖区内重污染天气风险防范工作开展情况、应急预案修订及演练情况、重污染天气发生及处置情况，以及落实整改要求情况等环境信息，鼓励公众积极举报应急响应期间的大气污染行为。</w:t>
      </w:r>
    </w:p>
    <w:p>
      <w:pPr>
        <w:pStyle w:val="25"/>
        <w:rPr>
          <w:rFonts w:eastAsia="仿宋"/>
        </w:rPr>
      </w:pPr>
      <w:bookmarkStart w:id="94" w:name="_Toc127188345"/>
      <w:r>
        <w:rPr>
          <w:rFonts w:eastAsia="仿宋"/>
        </w:rPr>
        <w:t>8责任与奖惩</w:t>
      </w:r>
      <w:bookmarkEnd w:id="94"/>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县指挥部办公室负责对有关成员单位专项实施方案和各地 重污染天气应急预案修订、应急体系建设、应急措施的组织落实情况等进行监督。</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相关部门加强对各地各部门重污染天气应对工作的监督， 对未做好应急响应工作的地区和部门，按有关制度进行问责； 对未按规定履行职责，存在失职、渎职行为的人员，由所在单位给予党纪、政务处分；构成犯罪的，移交司法机关依法追究刑事责任。</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发生重污染天气时，未按有关规定启动应急预警，或未及时按照应急预案采取措施，重污染天气应对不力的，按照《湖北省实施&lt;党政领导干部生态环境损害责任追究办法(试行)&gt; 细则》规定，对当地党委、政府相关领导成员及有关部门负责人实施追责问责。</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对于未按要求执行排污单位重污染天气停产、限产或错峰  生产应急措施以及其他应急措施的情形，依据《中华人民共和  国环境保护法》《中华人民共和国大气污染防治法》《湖北省大气污染防治条例》等实施处罚。对应急响应期间偷排偷放、屡查屡犯的企业，依法责令停止生产，除予以经济处罚外，依法追究企业法定代表人法律责任。对按照国家或省级标准已经列为A级、B级的工业企业，有违法违规行为或在后期抽查复核、生态环保督察、日常执法中被发现达不到相应绩效分级指标要求的，进行降级处理。</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对于未按照规定落实停止工地土石方作业或者建筑物拆除 施工等重污染天气应对措施的单位，按照《中华人民共和国大气污染防治法》的规定，由本县人民政府确定的监督管理部门予以处罚。</w:t>
      </w:r>
    </w:p>
    <w:p>
      <w:pPr>
        <w:ind w:firstLine="600" w:firstLineChars="200"/>
        <w:rPr>
          <w:rFonts w:ascii="Times New Roman" w:hAnsi="Times New Roman" w:eastAsia="仿宋" w:cs="Times New Roman"/>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sz w:val="30"/>
          <w:szCs w:val="30"/>
        </w:rPr>
        <w:t>县指挥部办公室对在重污染天气应急处置工作中反应迅速、措施妥当、贡献突出的先进集体和个人给予表扬。</w:t>
      </w:r>
    </w:p>
    <w:p>
      <w:pPr>
        <w:pStyle w:val="25"/>
        <w:rPr>
          <w:rFonts w:eastAsia="仿宋"/>
        </w:rPr>
      </w:pPr>
      <w:bookmarkStart w:id="95" w:name="_Toc127188346"/>
      <w:r>
        <w:rPr>
          <w:rFonts w:eastAsia="仿宋"/>
        </w:rPr>
        <w:t>9预案管理与实施</w:t>
      </w:r>
      <w:bookmarkEnd w:id="95"/>
    </w:p>
    <w:p>
      <w:pPr>
        <w:pStyle w:val="27"/>
        <w:ind w:firstLine="161"/>
        <w:rPr>
          <w:rFonts w:eastAsia="仿宋" w:cs="Times New Roman"/>
        </w:rPr>
      </w:pPr>
      <w:bookmarkStart w:id="96" w:name="_Toc127188347"/>
      <w:r>
        <w:rPr>
          <w:rFonts w:eastAsia="仿宋" w:cs="Times New Roman"/>
        </w:rPr>
        <w:t>9.1预案管理</w:t>
      </w:r>
      <w:bookmarkEnd w:id="96"/>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预案实施后，咸宁市生态环境局通城县分局会同县有关部门组织预案宣传、培训和演练。应加强应急预案及重污染天气预警信息、应急响应措施的宣传，密切关注舆论，及时积极正面引导舆论，回应社会关注，动员社会力量参与，为重污染天气应急响应工作营造良好舆论氛围。县指挥部成员单位根据各自职责，广泛宣传重污染天气防治应对的法律法规和健康防 护常识技能。应定期组织重污染天气应急预案演练，及时总结评估，切实提高预警和应急处置能力。</w:t>
      </w:r>
    </w:p>
    <w:p>
      <w:pPr>
        <w:pStyle w:val="27"/>
        <w:ind w:firstLine="161"/>
        <w:rPr>
          <w:rFonts w:eastAsia="仿宋" w:cs="Times New Roman"/>
        </w:rPr>
      </w:pPr>
      <w:bookmarkStart w:id="97" w:name="_Toc127188348"/>
      <w:r>
        <w:rPr>
          <w:rFonts w:eastAsia="仿宋" w:cs="Times New Roman"/>
        </w:rPr>
        <w:t>9.2预案更新</w:t>
      </w:r>
      <w:bookmarkEnd w:id="97"/>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县指挥部办公室负责本预案的编制、解释和日常管理，根据国家重污染天气应急工作布置和本预案实施情况，适时组织修订，报县人民政府办公厅印发。</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各级有关部门应根据本预案有关要求，制定本部门重污染 天气应急方案，并报同级重污染天气应急指挥机构备案。</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臭氧污染天气应急程序参照本预案执行，相关预警分级， 启动条件由县指挥部办公室另行制定。</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有下列情形之一的，应当及时进行预案修订：</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（一）重污染天气应急指挥机构及其职责发生重大调整的；</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（二）依据的法律、行政法规、规章等发生变化的；</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（三）上级重污染天气应急指挥部认为应当修订的其他情况。</w:t>
      </w:r>
    </w:p>
    <w:p>
      <w:pPr>
        <w:pStyle w:val="27"/>
        <w:ind w:firstLine="161"/>
        <w:rPr>
          <w:rFonts w:eastAsia="仿宋" w:cs="Times New Roman"/>
        </w:rPr>
      </w:pPr>
      <w:bookmarkStart w:id="98" w:name="_Toc127188349"/>
      <w:r>
        <w:rPr>
          <w:rFonts w:eastAsia="仿宋" w:cs="Times New Roman"/>
        </w:rPr>
        <w:t>9.3预案实施</w:t>
      </w:r>
      <w:bookmarkEnd w:id="98"/>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本预案自印发之日起实施。2019年原《咸宁市通城县重污染天气应急预案》同时废止。</w:t>
      </w:r>
    </w:p>
    <w:p>
      <w:pPr>
        <w:pStyle w:val="25"/>
        <w:rPr>
          <w:rFonts w:eastAsia="仿宋"/>
        </w:rPr>
      </w:pPr>
      <w:bookmarkStart w:id="99" w:name="_Toc127188350"/>
      <w:r>
        <w:rPr>
          <w:rFonts w:eastAsia="仿宋"/>
        </w:rPr>
        <w:t>10附则</w:t>
      </w:r>
      <w:bookmarkEnd w:id="99"/>
    </w:p>
    <w:p>
      <w:pPr>
        <w:spacing w:line="520" w:lineRule="exact"/>
        <w:ind w:firstLine="602" w:firstLineChars="200"/>
        <w:rPr>
          <w:rFonts w:ascii="Times New Roman" w:hAnsi="Times New Roman" w:eastAsia="仿宋" w:cs="Times New Roman"/>
          <w:b/>
          <w:sz w:val="30"/>
          <w:szCs w:val="30"/>
        </w:rPr>
      </w:pPr>
      <w:bookmarkStart w:id="100" w:name="_Toc10967"/>
      <w:bookmarkStart w:id="101" w:name="_Toc28153"/>
      <w:r>
        <w:rPr>
          <w:rFonts w:ascii="Times New Roman" w:hAnsi="Times New Roman" w:eastAsia="仿宋" w:cs="Times New Roman"/>
          <w:b/>
          <w:sz w:val="30"/>
          <w:szCs w:val="30"/>
        </w:rPr>
        <w:t>名词解释</w:t>
      </w:r>
      <w:bookmarkEnd w:id="100"/>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（1）AQI：即环境空气质量指数（Air Quality Index，简称AQI），是定量描述空气质量状况的无量纲指数，主要包括二氧化硫、二氧化氮、PM</w:t>
      </w:r>
      <w:r>
        <w:rPr>
          <w:rFonts w:ascii="Times New Roman" w:hAnsi="Times New Roman" w:eastAsia="仿宋" w:cs="Times New Roman"/>
          <w:sz w:val="30"/>
          <w:szCs w:val="30"/>
          <w:vertAlign w:val="subscript"/>
        </w:rPr>
        <w:t>10</w:t>
      </w:r>
      <w:r>
        <w:rPr>
          <w:rFonts w:ascii="Times New Roman" w:hAnsi="Times New Roman" w:eastAsia="仿宋" w:cs="Times New Roman"/>
          <w:sz w:val="30"/>
          <w:szCs w:val="30"/>
        </w:rPr>
        <w:t>、PM</w:t>
      </w:r>
      <w:r>
        <w:rPr>
          <w:rFonts w:ascii="Times New Roman" w:hAnsi="Times New Roman" w:eastAsia="仿宋" w:cs="Times New Roman"/>
          <w:sz w:val="30"/>
          <w:szCs w:val="30"/>
          <w:vertAlign w:val="subscript"/>
        </w:rPr>
        <w:t>2.5</w:t>
      </w:r>
      <w:r>
        <w:rPr>
          <w:rFonts w:ascii="Times New Roman" w:hAnsi="Times New Roman" w:eastAsia="仿宋" w:cs="Times New Roman"/>
          <w:sz w:val="30"/>
          <w:szCs w:val="30"/>
        </w:rPr>
        <w:t>、一氧化碳以及臭氧指标。</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PM</w:t>
      </w:r>
      <w:r>
        <w:rPr>
          <w:rFonts w:ascii="Times New Roman" w:hAnsi="Times New Roman" w:eastAsia="仿宋" w:cs="Times New Roman"/>
          <w:sz w:val="30"/>
          <w:szCs w:val="30"/>
          <w:vertAlign w:val="subscript"/>
        </w:rPr>
        <w:t>10</w:t>
      </w:r>
      <w:r>
        <w:rPr>
          <w:rFonts w:ascii="Times New Roman" w:hAnsi="Times New Roman" w:eastAsia="仿宋" w:cs="Times New Roman"/>
          <w:sz w:val="30"/>
          <w:szCs w:val="30"/>
        </w:rPr>
        <w:t>：指环境空气中空气动力学当量直径小于或等于10μm的颗粒物，也称可吸入颗粒物。</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PM</w:t>
      </w:r>
      <w:r>
        <w:rPr>
          <w:rFonts w:ascii="Times New Roman" w:hAnsi="Times New Roman" w:eastAsia="仿宋" w:cs="Times New Roman"/>
          <w:sz w:val="30"/>
          <w:szCs w:val="30"/>
          <w:vertAlign w:val="subscript"/>
        </w:rPr>
        <w:t>2.5</w:t>
      </w:r>
      <w:r>
        <w:rPr>
          <w:rFonts w:ascii="Times New Roman" w:hAnsi="Times New Roman" w:eastAsia="仿宋" w:cs="Times New Roman"/>
          <w:sz w:val="30"/>
          <w:szCs w:val="30"/>
        </w:rPr>
        <w:t>：指环境空气中空气动力学当量直径小于或等于2.5μm的颗粒物，也称细颗粒物。</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重污染天气：根据《环境空气质量指数（AQI）技术规定(试行)》（HJ633-2012），指环境空气质量指数（AQI）大于200，即空气质量达到5级（重度污染）及以上污染程度的大气污染。重污染天气可分为重度污染（5级）和严重污染（6级）两级。</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本预案所称的重度污染（5级）：AQI指数为201～300，即空气质量达到重度污染（5级）的大气污染。</w:t>
      </w:r>
    </w:p>
    <w:p>
      <w:pPr>
        <w:spacing w:line="52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本预案所称的严重污染（6级）：AQI指数大于300，即空气质量达到严重污染（6级）的大气污染</w:t>
      </w:r>
    </w:p>
    <w:bookmarkEnd w:id="101"/>
    <w:p>
      <w:pPr>
        <w:pStyle w:val="27"/>
        <w:ind w:firstLine="161"/>
        <w:rPr>
          <w:rFonts w:eastAsia="仿宋" w:cs="Times New Roman"/>
        </w:rPr>
      </w:pPr>
      <w:bookmarkStart w:id="102" w:name="_GoBack"/>
      <w:bookmarkEnd w:id="10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423194"/>
    </w:sdtPr>
    <w:sdtContent>
      <w:sdt>
        <w:sdtPr>
          <w:id w:val="1728636285"/>
        </w:sdtPr>
        <w:sdtContent>
          <w:p>
            <w:pPr>
              <w:pStyle w:val="11"/>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23</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50</w:t>
            </w:r>
            <w:r>
              <w:rPr>
                <w:rFonts w:ascii="Times New Roman" w:hAnsi="Times New Roman" w:cs="Times New Roman"/>
                <w:b/>
                <w:bCs/>
                <w:sz w:val="24"/>
                <w:szCs w:val="24"/>
              </w:rPr>
              <w:fldChar w:fldCharType="end"/>
            </w:r>
          </w:p>
        </w:sdtContent>
      </w:sdt>
    </w:sdtContent>
  </w:sdt>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iNjU1ZGZhODAzMTE4MmU4YTVlZDcyZWRlYzMwNDMifQ=="/>
  </w:docVars>
  <w:rsids>
    <w:rsidRoot w:val="00ED26B3"/>
    <w:rsid w:val="00003F12"/>
    <w:rsid w:val="00025346"/>
    <w:rsid w:val="0003616A"/>
    <w:rsid w:val="000372EC"/>
    <w:rsid w:val="000411F9"/>
    <w:rsid w:val="000A5DBF"/>
    <w:rsid w:val="000C7CCC"/>
    <w:rsid w:val="000E4346"/>
    <w:rsid w:val="0010162C"/>
    <w:rsid w:val="00104DB2"/>
    <w:rsid w:val="001072AF"/>
    <w:rsid w:val="001100F4"/>
    <w:rsid w:val="001133FF"/>
    <w:rsid w:val="001170A7"/>
    <w:rsid w:val="0013521E"/>
    <w:rsid w:val="00143F70"/>
    <w:rsid w:val="00152E48"/>
    <w:rsid w:val="00153978"/>
    <w:rsid w:val="00184EC6"/>
    <w:rsid w:val="00191978"/>
    <w:rsid w:val="00196CF6"/>
    <w:rsid w:val="001A1975"/>
    <w:rsid w:val="001E3EC1"/>
    <w:rsid w:val="002018F4"/>
    <w:rsid w:val="00202FFB"/>
    <w:rsid w:val="0020458B"/>
    <w:rsid w:val="00210A12"/>
    <w:rsid w:val="00226A8B"/>
    <w:rsid w:val="00241B8A"/>
    <w:rsid w:val="0024457B"/>
    <w:rsid w:val="00265BCB"/>
    <w:rsid w:val="00275904"/>
    <w:rsid w:val="00284CEE"/>
    <w:rsid w:val="002A45BB"/>
    <w:rsid w:val="002B081C"/>
    <w:rsid w:val="002D0F3A"/>
    <w:rsid w:val="002F2A28"/>
    <w:rsid w:val="002F2BD8"/>
    <w:rsid w:val="00324DA8"/>
    <w:rsid w:val="003444EF"/>
    <w:rsid w:val="003532AA"/>
    <w:rsid w:val="00391F12"/>
    <w:rsid w:val="003A729B"/>
    <w:rsid w:val="003B5765"/>
    <w:rsid w:val="00442A75"/>
    <w:rsid w:val="00444528"/>
    <w:rsid w:val="00460566"/>
    <w:rsid w:val="00485334"/>
    <w:rsid w:val="00491222"/>
    <w:rsid w:val="004B2715"/>
    <w:rsid w:val="004B4CDF"/>
    <w:rsid w:val="004D29A7"/>
    <w:rsid w:val="004D2D23"/>
    <w:rsid w:val="004E6EDF"/>
    <w:rsid w:val="004F5473"/>
    <w:rsid w:val="005166F2"/>
    <w:rsid w:val="00516C24"/>
    <w:rsid w:val="005234FA"/>
    <w:rsid w:val="00526844"/>
    <w:rsid w:val="00527E3A"/>
    <w:rsid w:val="005422AA"/>
    <w:rsid w:val="005463AF"/>
    <w:rsid w:val="00552DD2"/>
    <w:rsid w:val="00562E91"/>
    <w:rsid w:val="00565CAC"/>
    <w:rsid w:val="005925F8"/>
    <w:rsid w:val="005A1576"/>
    <w:rsid w:val="005A73B8"/>
    <w:rsid w:val="005B1FCB"/>
    <w:rsid w:val="005B4A43"/>
    <w:rsid w:val="005B71C0"/>
    <w:rsid w:val="005C324A"/>
    <w:rsid w:val="005C336C"/>
    <w:rsid w:val="005F7A75"/>
    <w:rsid w:val="00612AC9"/>
    <w:rsid w:val="0061743D"/>
    <w:rsid w:val="006305E3"/>
    <w:rsid w:val="00664B80"/>
    <w:rsid w:val="00667158"/>
    <w:rsid w:val="006743AF"/>
    <w:rsid w:val="006758F2"/>
    <w:rsid w:val="006765F5"/>
    <w:rsid w:val="00687C2D"/>
    <w:rsid w:val="006A4EC5"/>
    <w:rsid w:val="006B0099"/>
    <w:rsid w:val="006C582D"/>
    <w:rsid w:val="006D4D4A"/>
    <w:rsid w:val="006D7821"/>
    <w:rsid w:val="006E2BBC"/>
    <w:rsid w:val="006F44C4"/>
    <w:rsid w:val="007067F8"/>
    <w:rsid w:val="00713767"/>
    <w:rsid w:val="0071659D"/>
    <w:rsid w:val="00717648"/>
    <w:rsid w:val="007367A6"/>
    <w:rsid w:val="00782760"/>
    <w:rsid w:val="00786B8C"/>
    <w:rsid w:val="007A4E65"/>
    <w:rsid w:val="007A799B"/>
    <w:rsid w:val="007F3A4E"/>
    <w:rsid w:val="0082136B"/>
    <w:rsid w:val="0082758E"/>
    <w:rsid w:val="00862448"/>
    <w:rsid w:val="00863C32"/>
    <w:rsid w:val="008A0E26"/>
    <w:rsid w:val="008B0FDD"/>
    <w:rsid w:val="008E7FEA"/>
    <w:rsid w:val="00910E64"/>
    <w:rsid w:val="009128AA"/>
    <w:rsid w:val="009139DC"/>
    <w:rsid w:val="00930F58"/>
    <w:rsid w:val="00944CCB"/>
    <w:rsid w:val="00953C45"/>
    <w:rsid w:val="00954C58"/>
    <w:rsid w:val="0095503E"/>
    <w:rsid w:val="00960651"/>
    <w:rsid w:val="009668F6"/>
    <w:rsid w:val="00967FC3"/>
    <w:rsid w:val="00976365"/>
    <w:rsid w:val="00990319"/>
    <w:rsid w:val="00996FD8"/>
    <w:rsid w:val="009D76D5"/>
    <w:rsid w:val="009E6127"/>
    <w:rsid w:val="009E6B64"/>
    <w:rsid w:val="00A04D0C"/>
    <w:rsid w:val="00A06C97"/>
    <w:rsid w:val="00A16DBB"/>
    <w:rsid w:val="00A17DBC"/>
    <w:rsid w:val="00A263C2"/>
    <w:rsid w:val="00A33391"/>
    <w:rsid w:val="00A41886"/>
    <w:rsid w:val="00A43B52"/>
    <w:rsid w:val="00A841E9"/>
    <w:rsid w:val="00A94435"/>
    <w:rsid w:val="00A94AF7"/>
    <w:rsid w:val="00AC5E70"/>
    <w:rsid w:val="00AC6505"/>
    <w:rsid w:val="00AF1480"/>
    <w:rsid w:val="00AF50E9"/>
    <w:rsid w:val="00B0005F"/>
    <w:rsid w:val="00B06A84"/>
    <w:rsid w:val="00B06CC3"/>
    <w:rsid w:val="00B14A09"/>
    <w:rsid w:val="00B304CC"/>
    <w:rsid w:val="00B507EC"/>
    <w:rsid w:val="00B75C1C"/>
    <w:rsid w:val="00B8330A"/>
    <w:rsid w:val="00B9153E"/>
    <w:rsid w:val="00BB449B"/>
    <w:rsid w:val="00BB60A2"/>
    <w:rsid w:val="00BC1FC9"/>
    <w:rsid w:val="00BD79F2"/>
    <w:rsid w:val="00BE4282"/>
    <w:rsid w:val="00BF2B77"/>
    <w:rsid w:val="00BF3163"/>
    <w:rsid w:val="00BF46C1"/>
    <w:rsid w:val="00C374B1"/>
    <w:rsid w:val="00C42905"/>
    <w:rsid w:val="00C77766"/>
    <w:rsid w:val="00C97506"/>
    <w:rsid w:val="00CB5D0D"/>
    <w:rsid w:val="00CB62F5"/>
    <w:rsid w:val="00CD54EA"/>
    <w:rsid w:val="00CF0864"/>
    <w:rsid w:val="00CF24BC"/>
    <w:rsid w:val="00D03E43"/>
    <w:rsid w:val="00D56F09"/>
    <w:rsid w:val="00D74B79"/>
    <w:rsid w:val="00D852F5"/>
    <w:rsid w:val="00DA1406"/>
    <w:rsid w:val="00DB55D0"/>
    <w:rsid w:val="00DB74CD"/>
    <w:rsid w:val="00DB7A36"/>
    <w:rsid w:val="00DE56DA"/>
    <w:rsid w:val="00DE6665"/>
    <w:rsid w:val="00DF2832"/>
    <w:rsid w:val="00DF4A7F"/>
    <w:rsid w:val="00DF57BC"/>
    <w:rsid w:val="00E02A51"/>
    <w:rsid w:val="00E0707A"/>
    <w:rsid w:val="00E07CD3"/>
    <w:rsid w:val="00E120D0"/>
    <w:rsid w:val="00E3097E"/>
    <w:rsid w:val="00E47AB7"/>
    <w:rsid w:val="00E60C13"/>
    <w:rsid w:val="00E854AA"/>
    <w:rsid w:val="00EA52E3"/>
    <w:rsid w:val="00EC06E4"/>
    <w:rsid w:val="00EC37E5"/>
    <w:rsid w:val="00EC56E5"/>
    <w:rsid w:val="00ED26B3"/>
    <w:rsid w:val="00ED53E0"/>
    <w:rsid w:val="00EE27CB"/>
    <w:rsid w:val="00F02934"/>
    <w:rsid w:val="00F573C6"/>
    <w:rsid w:val="00F803C4"/>
    <w:rsid w:val="00FA7153"/>
    <w:rsid w:val="00FC4BAA"/>
    <w:rsid w:val="00FD6509"/>
    <w:rsid w:val="0A3D797F"/>
    <w:rsid w:val="11641C95"/>
    <w:rsid w:val="1D865EAC"/>
    <w:rsid w:val="1E335F13"/>
    <w:rsid w:val="21D14A39"/>
    <w:rsid w:val="2FB120A2"/>
    <w:rsid w:val="317155B7"/>
    <w:rsid w:val="37FE4C89"/>
    <w:rsid w:val="3CD53AD5"/>
    <w:rsid w:val="41B8730F"/>
    <w:rsid w:val="581B7F39"/>
    <w:rsid w:val="58DC2B92"/>
    <w:rsid w:val="63751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unhideWhenUsed/>
    <w:qFormat/>
    <w:uiPriority w:val="99"/>
    <w:pPr>
      <w:ind w:left="800" w:leftChars="800"/>
    </w:pPr>
  </w:style>
  <w:style w:type="paragraph" w:styleId="7">
    <w:name w:val="annotation text"/>
    <w:basedOn w:val="1"/>
    <w:link w:val="39"/>
    <w:semiHidden/>
    <w:unhideWhenUsed/>
    <w:qFormat/>
    <w:uiPriority w:val="99"/>
    <w:pPr>
      <w:jc w:val="left"/>
    </w:pPr>
  </w:style>
  <w:style w:type="paragraph" w:styleId="8">
    <w:name w:val="toc 3"/>
    <w:basedOn w:val="1"/>
    <w:next w:val="1"/>
    <w:qFormat/>
    <w:uiPriority w:val="39"/>
    <w:pPr>
      <w:spacing w:line="360" w:lineRule="auto"/>
      <w:ind w:left="840" w:leftChars="400" w:firstLine="200" w:firstLineChars="200"/>
    </w:pPr>
    <w:rPr>
      <w:rFonts w:ascii="Times New Roman" w:hAnsi="Times New Roman" w:eastAsia="仿宋" w:cs="黑体"/>
      <w:sz w:val="28"/>
    </w:rPr>
  </w:style>
  <w:style w:type="paragraph" w:styleId="9">
    <w:name w:val="Date"/>
    <w:basedOn w:val="1"/>
    <w:next w:val="1"/>
    <w:link w:val="35"/>
    <w:semiHidden/>
    <w:unhideWhenUsed/>
    <w:qFormat/>
    <w:uiPriority w:val="99"/>
    <w:pPr>
      <w:ind w:left="100" w:leftChars="2500"/>
    </w:pPr>
  </w:style>
  <w:style w:type="paragraph" w:styleId="10">
    <w:name w:val="Balloon Text"/>
    <w:basedOn w:val="1"/>
    <w:link w:val="37"/>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60" w:lineRule="auto"/>
      <w:ind w:firstLine="200" w:firstLineChars="200"/>
    </w:pPr>
    <w:rPr>
      <w:rFonts w:ascii="Times New Roman" w:hAnsi="Times New Roman" w:eastAsia="仿宋" w:cs="黑体"/>
      <w:sz w:val="28"/>
    </w:rPr>
  </w:style>
  <w:style w:type="paragraph" w:styleId="14">
    <w:name w:val="toc 2"/>
    <w:basedOn w:val="1"/>
    <w:next w:val="1"/>
    <w:qFormat/>
    <w:uiPriority w:val="39"/>
    <w:pPr>
      <w:spacing w:line="360" w:lineRule="auto"/>
      <w:ind w:left="420" w:leftChars="200" w:firstLine="200" w:firstLineChars="200"/>
    </w:pPr>
    <w:rPr>
      <w:rFonts w:ascii="Times New Roman" w:hAnsi="Times New Roman" w:eastAsia="仿宋" w:cs="黑体"/>
      <w:sz w:val="28"/>
    </w:rPr>
  </w:style>
  <w:style w:type="paragraph" w:styleId="15">
    <w:name w:val="annotation subject"/>
    <w:basedOn w:val="7"/>
    <w:next w:val="7"/>
    <w:link w:val="40"/>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字符"/>
    <w:basedOn w:val="18"/>
    <w:link w:val="12"/>
    <w:qFormat/>
    <w:uiPriority w:val="0"/>
    <w:rPr>
      <w:sz w:val="18"/>
      <w:szCs w:val="18"/>
    </w:rPr>
  </w:style>
  <w:style w:type="character" w:customStyle="1" w:styleId="22">
    <w:name w:val="页脚 字符"/>
    <w:basedOn w:val="18"/>
    <w:link w:val="11"/>
    <w:qFormat/>
    <w:uiPriority w:val="99"/>
    <w:rPr>
      <w:sz w:val="18"/>
      <w:szCs w:val="18"/>
    </w:rPr>
  </w:style>
  <w:style w:type="paragraph" w:customStyle="1" w:styleId="23">
    <w:name w:val="TOC 标题1"/>
    <w:basedOn w:val="3"/>
    <w:next w:val="1"/>
    <w:qFormat/>
    <w:uiPriority w:val="0"/>
    <w:pPr>
      <w:pageBreakBefore/>
      <w:widowControl/>
      <w:spacing w:before="240" w:after="0" w:line="259" w:lineRule="auto"/>
      <w:jc w:val="left"/>
      <w:outlineLvl w:val="9"/>
    </w:pPr>
    <w:rPr>
      <w:rFonts w:ascii="等线 Light" w:hAnsi="等线 Light" w:eastAsia="等线 Light" w:cs="黑体"/>
      <w:b w:val="0"/>
      <w:bCs w:val="0"/>
      <w:color w:val="2D73B3"/>
      <w:kern w:val="2"/>
      <w:sz w:val="32"/>
      <w:szCs w:val="32"/>
    </w:rPr>
  </w:style>
  <w:style w:type="character" w:customStyle="1" w:styleId="24">
    <w:name w:val="标题 1 字符"/>
    <w:basedOn w:val="18"/>
    <w:link w:val="3"/>
    <w:qFormat/>
    <w:uiPriority w:val="9"/>
    <w:rPr>
      <w:b/>
      <w:bCs/>
      <w:kern w:val="44"/>
      <w:sz w:val="44"/>
      <w:szCs w:val="44"/>
    </w:rPr>
  </w:style>
  <w:style w:type="paragraph" w:customStyle="1" w:styleId="25">
    <w:name w:val="样式1"/>
    <w:basedOn w:val="3"/>
    <w:link w:val="26"/>
    <w:qFormat/>
    <w:uiPriority w:val="0"/>
    <w:pPr>
      <w:pageBreakBefore/>
      <w:spacing w:before="0" w:after="0"/>
      <w:jc w:val="left"/>
    </w:pPr>
    <w:rPr>
      <w:rFonts w:ascii="Times New Roman" w:hAnsi="Times New Roman" w:eastAsia="楷体_GB2312" w:cs="Times New Roman"/>
      <w:bCs w:val="0"/>
      <w:color w:val="000000"/>
      <w:sz w:val="36"/>
      <w:szCs w:val="36"/>
    </w:rPr>
  </w:style>
  <w:style w:type="character" w:customStyle="1" w:styleId="26">
    <w:name w:val="样式1 Char"/>
    <w:basedOn w:val="24"/>
    <w:link w:val="25"/>
    <w:qFormat/>
    <w:uiPriority w:val="0"/>
    <w:rPr>
      <w:rFonts w:ascii="Times New Roman" w:hAnsi="Times New Roman" w:eastAsia="楷体_GB2312" w:cs="Times New Roman"/>
      <w:bCs w:val="0"/>
      <w:color w:val="000000"/>
      <w:kern w:val="44"/>
      <w:sz w:val="36"/>
      <w:szCs w:val="36"/>
    </w:rPr>
  </w:style>
  <w:style w:type="paragraph" w:customStyle="1" w:styleId="27">
    <w:name w:val="样式2"/>
    <w:basedOn w:val="4"/>
    <w:link w:val="28"/>
    <w:qFormat/>
    <w:uiPriority w:val="0"/>
    <w:pPr>
      <w:spacing w:before="0" w:after="0" w:line="415" w:lineRule="auto"/>
      <w:ind w:firstLine="151" w:firstLineChars="50"/>
    </w:pPr>
    <w:rPr>
      <w:rFonts w:ascii="Times New Roman" w:hAnsi="Times New Roman" w:eastAsia="楷体_GB2312" w:cs="黑体"/>
    </w:rPr>
  </w:style>
  <w:style w:type="character" w:customStyle="1" w:styleId="28">
    <w:name w:val="样式2 Char"/>
    <w:basedOn w:val="29"/>
    <w:link w:val="27"/>
    <w:qFormat/>
    <w:uiPriority w:val="0"/>
    <w:rPr>
      <w:rFonts w:ascii="Times New Roman" w:hAnsi="Times New Roman" w:eastAsia="楷体_GB2312" w:cs="黑体"/>
      <w:sz w:val="32"/>
      <w:szCs w:val="32"/>
    </w:rPr>
  </w:style>
  <w:style w:type="character" w:customStyle="1" w:styleId="29">
    <w:name w:val="标题 2 字符"/>
    <w:basedOn w:val="18"/>
    <w:link w:val="4"/>
    <w:semiHidden/>
    <w:qFormat/>
    <w:uiPriority w:val="9"/>
    <w:rPr>
      <w:rFonts w:asciiTheme="majorHAnsi" w:hAnsiTheme="majorHAnsi" w:eastAsiaTheme="majorEastAsia" w:cstheme="majorBidi"/>
      <w:b/>
      <w:bCs/>
      <w:sz w:val="32"/>
      <w:szCs w:val="32"/>
    </w:rPr>
  </w:style>
  <w:style w:type="paragraph" w:customStyle="1" w:styleId="30">
    <w:name w:val="样式"/>
    <w:basedOn w:val="1"/>
    <w:next w:val="1"/>
    <w:link w:val="31"/>
    <w:qFormat/>
    <w:uiPriority w:val="0"/>
    <w:pPr>
      <w:spacing w:line="360" w:lineRule="auto"/>
      <w:ind w:firstLine="560" w:firstLineChars="200"/>
    </w:pPr>
    <w:rPr>
      <w:rFonts w:ascii="Times New Roman" w:hAnsi="Times New Roman" w:eastAsia="仿宋_GB2312" w:cs="黑体"/>
      <w:sz w:val="28"/>
    </w:rPr>
  </w:style>
  <w:style w:type="character" w:customStyle="1" w:styleId="31">
    <w:name w:val="样式 Char"/>
    <w:basedOn w:val="18"/>
    <w:link w:val="30"/>
    <w:qFormat/>
    <w:uiPriority w:val="0"/>
    <w:rPr>
      <w:rFonts w:ascii="Times New Roman" w:hAnsi="Times New Roman" w:eastAsia="仿宋_GB2312" w:cs="黑体"/>
      <w:sz w:val="28"/>
    </w:rPr>
  </w:style>
  <w:style w:type="paragraph" w:customStyle="1" w:styleId="32">
    <w:name w:val="样式3"/>
    <w:basedOn w:val="5"/>
    <w:link w:val="33"/>
    <w:qFormat/>
    <w:uiPriority w:val="0"/>
    <w:pPr>
      <w:spacing w:before="0" w:after="0" w:line="415" w:lineRule="auto"/>
      <w:ind w:firstLine="452" w:firstLineChars="150"/>
    </w:pPr>
    <w:rPr>
      <w:rFonts w:ascii="Times New Roman" w:hAnsi="Times New Roman" w:eastAsia="楷体_GB2312" w:cs="黑体"/>
      <w:sz w:val="28"/>
    </w:rPr>
  </w:style>
  <w:style w:type="character" w:customStyle="1" w:styleId="33">
    <w:name w:val="样式3 Char"/>
    <w:basedOn w:val="34"/>
    <w:link w:val="32"/>
    <w:qFormat/>
    <w:uiPriority w:val="0"/>
    <w:rPr>
      <w:rFonts w:ascii="Times New Roman" w:hAnsi="Times New Roman" w:eastAsia="楷体_GB2312" w:cs="黑体"/>
      <w:sz w:val="28"/>
      <w:szCs w:val="32"/>
    </w:rPr>
  </w:style>
  <w:style w:type="character" w:customStyle="1" w:styleId="34">
    <w:name w:val="标题 3 字符"/>
    <w:basedOn w:val="18"/>
    <w:link w:val="5"/>
    <w:semiHidden/>
    <w:qFormat/>
    <w:uiPriority w:val="9"/>
    <w:rPr>
      <w:b/>
      <w:bCs/>
      <w:sz w:val="32"/>
      <w:szCs w:val="32"/>
    </w:rPr>
  </w:style>
  <w:style w:type="character" w:customStyle="1" w:styleId="35">
    <w:name w:val="日期 字符"/>
    <w:basedOn w:val="18"/>
    <w:link w:val="9"/>
    <w:semiHidden/>
    <w:qFormat/>
    <w:uiPriority w:val="99"/>
  </w:style>
  <w:style w:type="character" w:customStyle="1" w:styleId="36">
    <w:name w:val="标题 4 字符"/>
    <w:basedOn w:val="18"/>
    <w:link w:val="6"/>
    <w:semiHidden/>
    <w:qFormat/>
    <w:uiPriority w:val="9"/>
    <w:rPr>
      <w:rFonts w:asciiTheme="majorHAnsi" w:hAnsiTheme="majorHAnsi" w:eastAsiaTheme="majorEastAsia" w:cstheme="majorBidi"/>
      <w:b/>
      <w:bCs/>
      <w:sz w:val="28"/>
      <w:szCs w:val="28"/>
    </w:rPr>
  </w:style>
  <w:style w:type="character" w:customStyle="1" w:styleId="37">
    <w:name w:val="批注框文本 字符"/>
    <w:basedOn w:val="18"/>
    <w:link w:val="10"/>
    <w:semiHidden/>
    <w:qFormat/>
    <w:uiPriority w:val="99"/>
    <w:rPr>
      <w:kern w:val="2"/>
      <w:sz w:val="18"/>
      <w:szCs w:val="18"/>
    </w:rPr>
  </w:style>
  <w:style w:type="paragraph" w:customStyle="1" w:styleId="3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39">
    <w:name w:val="批注文字 字符"/>
    <w:basedOn w:val="18"/>
    <w:link w:val="7"/>
    <w:semiHidden/>
    <w:qFormat/>
    <w:uiPriority w:val="99"/>
    <w:rPr>
      <w:kern w:val="2"/>
      <w:sz w:val="21"/>
      <w:szCs w:val="22"/>
    </w:rPr>
  </w:style>
  <w:style w:type="character" w:customStyle="1" w:styleId="40">
    <w:name w:val="批注主题 字符"/>
    <w:basedOn w:val="39"/>
    <w:link w:val="15"/>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B0B7F-1BA4-4153-B4F6-7D91E03FD67E}">
  <ds:schemaRefs/>
</ds:datastoreItem>
</file>

<file path=docProps/app.xml><?xml version="1.0" encoding="utf-8"?>
<Properties xmlns="http://schemas.openxmlformats.org/officeDocument/2006/extended-properties" xmlns:vt="http://schemas.openxmlformats.org/officeDocument/2006/docPropsVTypes">
  <Template>Normal</Template>
  <Pages>50</Pages>
  <Words>20758</Words>
  <Characters>21455</Characters>
  <Lines>199</Lines>
  <Paragraphs>56</Paragraphs>
  <TotalTime>86</TotalTime>
  <ScaleCrop>false</ScaleCrop>
  <LinksUpToDate>false</LinksUpToDate>
  <CharactersWithSpaces>21750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2023-04-14T02:39:00Z</dcterms:created>
  <dc:creator>XiaoMei</dc:creator>
  <cp:lastModifiedBy>Administrator</cp:lastModifiedBy>
  <cp:lastPrinted>2023-09-01T09:05:49Z</cp:lastPrinted>
  <dcterms:modified xsi:type="dcterms:W3CDTF">2023-09-01T09:06:53Z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D1C63B0626004CC7A24502669DE832C4_13</vt:lpwstr>
  </property>
</Properties>
</file>