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right="0" w:rightChars="0"/>
        <w:jc w:val="both"/>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黑体" w:hAnsi="黑体" w:eastAsia="黑体" w:cs="黑体"/>
          <w:b w:val="0"/>
          <w:bCs w:val="0"/>
          <w:kern w:val="0"/>
          <w:sz w:val="44"/>
          <w:szCs w:val="44"/>
          <w:lang w:val="en-US" w:eastAsia="zh-CN" w:bidi="ar"/>
        </w:rPr>
      </w:pPr>
      <w:r>
        <w:rPr>
          <w:rFonts w:hint="eastAsia" w:ascii="黑体" w:hAnsi="黑体" w:eastAsia="黑体" w:cs="黑体"/>
          <w:b w:val="0"/>
          <w:bCs w:val="0"/>
          <w:kern w:val="0"/>
          <w:sz w:val="44"/>
          <w:szCs w:val="44"/>
          <w:lang w:val="en-US" w:eastAsia="zh-CN" w:bidi="ar"/>
        </w:rPr>
        <w:t>关于印发《通城县城市管理执法局“双随机、一公开”部门联合抽查实施细则》的通知</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jc w:val="center"/>
        <w:textAlignment w:val="auto"/>
        <w:outlineLvl w:val="9"/>
        <w:rPr>
          <w:rFonts w:hint="eastAsia" w:ascii="宋体" w:hAnsi="宋体" w:cs="宋体"/>
          <w:b/>
          <w:bCs/>
          <w:kern w:val="0"/>
          <w:sz w:val="44"/>
          <w:szCs w:val="44"/>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jc w:val="both"/>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局属各单位，机关各股室：</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为贯彻落实《国务院关于在市场监管领域全面推行部门联合“双随机、一公开的监管的意见》(国发〔2019〕5号）《省人民政府关于在市场监管领城全面推行部门联合 “双随机一公开”监管的实施意见》（鄂政发〔2019〕19号）文件精神，全面推进部门联合《“双随机、一公开”监管，确保监管全覆盖。现</w:t>
      </w:r>
      <w:r>
        <w:rPr>
          <w:rFonts w:hint="eastAsia" w:ascii="仿宋" w:hAnsi="仿宋" w:eastAsia="仿宋" w:cs="仿宋"/>
          <w:color w:val="auto"/>
          <w:sz w:val="32"/>
          <w:szCs w:val="32"/>
          <w:lang w:val="en-US" w:eastAsia="zh-CN"/>
        </w:rPr>
        <w:t>结合我局实际，制定</w:t>
      </w:r>
      <w:r>
        <w:rPr>
          <w:rFonts w:hint="eastAsia" w:ascii="仿宋" w:hAnsi="仿宋" w:eastAsia="仿宋" w:cs="仿宋"/>
          <w:b w:val="0"/>
          <w:bCs w:val="0"/>
          <w:color w:val="auto"/>
          <w:kern w:val="0"/>
          <w:sz w:val="32"/>
          <w:szCs w:val="32"/>
          <w:lang w:val="en-US" w:eastAsia="zh-CN" w:bidi="ar"/>
        </w:rPr>
        <w:t>《通城县城市管理执法局“双随机、-公开”部门联合抽查实施细则》印发给你们，请遵照执行。</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jc w:val="center"/>
        <w:textAlignment w:val="auto"/>
        <w:outlineLvl w:val="9"/>
        <w:rPr>
          <w:rFonts w:hint="eastAsia" w:ascii="仿宋" w:hAnsi="仿宋" w:eastAsia="仿宋" w:cs="仿宋"/>
          <w:b w:val="0"/>
          <w:bCs w:val="0"/>
          <w:color w:val="auto"/>
          <w:kern w:val="0"/>
          <w:sz w:val="32"/>
          <w:szCs w:val="32"/>
          <w:lang w:val="en-US" w:eastAsia="zh-CN" w:bidi="ar"/>
        </w:rPr>
      </w:pPr>
      <w:r>
        <w:rPr>
          <w:rFonts w:hint="eastAsia" w:ascii="仿宋" w:hAnsi="仿宋" w:eastAsia="仿宋" w:cs="仿宋"/>
          <w:b w:val="0"/>
          <w:bCs w:val="0"/>
          <w:color w:val="auto"/>
          <w:kern w:val="0"/>
          <w:sz w:val="32"/>
          <w:szCs w:val="32"/>
          <w:lang w:val="en-US" w:eastAsia="zh-CN" w:bidi="ar"/>
        </w:rPr>
        <w:t xml:space="preserve">                         通城县城市管理执法局</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420"/>
        <w:jc w:val="center"/>
        <w:textAlignment w:val="auto"/>
        <w:outlineLvl w:val="9"/>
        <w:rPr>
          <w:rFonts w:hint="eastAsia" w:ascii="宋体" w:hAnsi="宋体" w:cs="宋体"/>
          <w:b/>
          <w:bCs/>
          <w:kern w:val="0"/>
          <w:sz w:val="44"/>
          <w:szCs w:val="44"/>
          <w:lang w:val="en-US" w:eastAsia="zh-CN" w:bidi="ar"/>
        </w:rPr>
      </w:pPr>
      <w:r>
        <w:rPr>
          <w:rFonts w:hint="eastAsia" w:ascii="仿宋" w:hAnsi="仿宋" w:eastAsia="仿宋" w:cs="仿宋"/>
          <w:b w:val="0"/>
          <w:bCs w:val="0"/>
          <w:color w:val="auto"/>
          <w:kern w:val="0"/>
          <w:sz w:val="32"/>
          <w:szCs w:val="32"/>
          <w:lang w:val="en-US" w:eastAsia="zh-CN" w:bidi="ar"/>
        </w:rPr>
        <w:t xml:space="preserve">                         2023年3月23日</w:t>
      </w:r>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kern w:val="0"/>
          <w:sz w:val="44"/>
          <w:szCs w:val="44"/>
          <w:lang w:val="en-US" w:eastAsia="zh-CN" w:bidi="ar"/>
        </w:rPr>
      </w:pPr>
      <w:bookmarkStart w:id="0" w:name="_GoBack"/>
      <w:bookmarkEnd w:id="0"/>
    </w:p>
    <w:p>
      <w:pPr>
        <w:keepNext w:val="0"/>
        <w:keepLines w:val="0"/>
        <w:pageBreakBefore w:val="0"/>
        <w:widowControl/>
        <w:kinsoku/>
        <w:wordWrap/>
        <w:overflowPunct/>
        <w:topLinePunct w:val="0"/>
        <w:autoSpaceDE/>
        <w:autoSpaceDN/>
        <w:bidi w:val="0"/>
        <w:adjustRightInd/>
        <w:snapToGrid/>
        <w:spacing w:line="580" w:lineRule="exact"/>
        <w:ind w:right="0" w:rightChars="0"/>
        <w:jc w:val="center"/>
        <w:textAlignment w:val="auto"/>
        <w:outlineLvl w:val="9"/>
        <w:rPr>
          <w:rFonts w:hint="eastAsia" w:ascii="宋体" w:hAnsi="宋体" w:cs="宋体"/>
          <w:b/>
          <w:bCs/>
          <w:sz w:val="44"/>
          <w:szCs w:val="44"/>
          <w:lang w:val="en-US"/>
        </w:rPr>
      </w:pPr>
      <w:r>
        <w:rPr>
          <w:rFonts w:hint="eastAsia" w:ascii="宋体" w:hAnsi="宋体" w:cs="宋体"/>
          <w:b/>
          <w:bCs/>
          <w:kern w:val="0"/>
          <w:sz w:val="44"/>
          <w:szCs w:val="44"/>
          <w:lang w:val="en-US" w:eastAsia="zh-CN" w:bidi="ar"/>
        </w:rPr>
        <w:t>通城县</w:t>
      </w:r>
      <w:r>
        <w:rPr>
          <w:rFonts w:hint="eastAsia" w:ascii="宋体" w:hAnsi="宋体" w:cs="宋体"/>
          <w:b/>
          <w:bCs/>
          <w:kern w:val="0"/>
          <w:sz w:val="44"/>
          <w:szCs w:val="44"/>
          <w:lang w:bidi="ar"/>
        </w:rPr>
        <w:t>城市管理执法局“双随机</w:t>
      </w:r>
      <w:r>
        <w:rPr>
          <w:rFonts w:hint="eastAsia" w:ascii="宋体" w:hAnsi="宋体" w:cs="宋体"/>
          <w:b/>
          <w:bCs/>
          <w:kern w:val="0"/>
          <w:sz w:val="44"/>
          <w:szCs w:val="44"/>
          <w:lang w:eastAsia="zh-CN" w:bidi="ar"/>
        </w:rPr>
        <w:t>、一公开</w:t>
      </w:r>
      <w:r>
        <w:rPr>
          <w:rFonts w:hint="eastAsia" w:ascii="宋体" w:hAnsi="宋体" w:cs="宋体"/>
          <w:b/>
          <w:bCs/>
          <w:kern w:val="0"/>
          <w:sz w:val="44"/>
          <w:szCs w:val="44"/>
          <w:lang w:bidi="ar"/>
        </w:rPr>
        <w:t>”</w:t>
      </w:r>
      <w:r>
        <w:rPr>
          <w:rFonts w:hint="eastAsia" w:ascii="宋体" w:hAnsi="宋体" w:cs="宋体"/>
          <w:b/>
          <w:bCs/>
          <w:kern w:val="0"/>
          <w:sz w:val="44"/>
          <w:szCs w:val="44"/>
          <w:lang w:eastAsia="zh-CN" w:bidi="ar"/>
        </w:rPr>
        <w:t>部门联合</w:t>
      </w:r>
      <w:r>
        <w:rPr>
          <w:rFonts w:hint="eastAsia" w:ascii="宋体" w:hAnsi="宋体" w:cs="宋体"/>
          <w:b/>
          <w:bCs/>
          <w:kern w:val="0"/>
          <w:sz w:val="44"/>
          <w:szCs w:val="44"/>
          <w:lang w:bidi="ar"/>
        </w:rPr>
        <w:t>抽查</w:t>
      </w:r>
      <w:r>
        <w:rPr>
          <w:rFonts w:hint="eastAsia" w:ascii="宋体" w:hAnsi="宋体" w:cs="宋体"/>
          <w:b/>
          <w:bCs/>
          <w:kern w:val="0"/>
          <w:sz w:val="44"/>
          <w:szCs w:val="44"/>
          <w:lang w:eastAsia="zh-CN" w:bidi="ar"/>
        </w:rPr>
        <w:t>实施</w:t>
      </w:r>
      <w:r>
        <w:rPr>
          <w:rFonts w:hint="eastAsia" w:ascii="宋体" w:hAnsi="宋体" w:cs="宋体"/>
          <w:b/>
          <w:bCs/>
          <w:kern w:val="0"/>
          <w:sz w:val="44"/>
          <w:szCs w:val="44"/>
          <w:lang w:val="en-US" w:eastAsia="zh-CN" w:bidi="ar"/>
        </w:rPr>
        <w:t>细则</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480" w:firstLineChars="200"/>
        <w:jc w:val="left"/>
        <w:textAlignment w:val="auto"/>
        <w:outlineLvl w:val="9"/>
        <w:rPr>
          <w:rFonts w:hint="eastAsia" w:ascii="仿宋_GB2312" w:hAnsi="仿宋_GB2312" w:eastAsia="仿宋_GB2312" w:cs="仿宋_GB2312"/>
          <w:sz w:val="24"/>
        </w:rPr>
      </w:pPr>
      <w:r>
        <w:rPr>
          <w:rFonts w:hint="eastAsia" w:ascii="仿宋_GB2312" w:hAnsi="仿宋_GB2312" w:eastAsia="仿宋_GB2312" w:cs="仿宋_GB2312"/>
          <w:kern w:val="0"/>
          <w:sz w:val="24"/>
          <w:lang w:bidi="ar"/>
        </w:rPr>
        <w:t> </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第一条</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双随机”抽查是指在城市管理和行政执法日常监管检查中，在全局推广“随机抽取检查对象，随机选派检查人员”的抽查机制，规范监管行为，落实监管责任，强化市场主体自律和社会监督，着力解决群众反映强烈的突出问题，提高监管效能。</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第二条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本细则适用于局属负责</w:t>
      </w:r>
      <w:r>
        <w:rPr>
          <w:rFonts w:hint="eastAsia" w:ascii="仿宋_GB2312" w:hAnsi="仿宋_GB2312" w:eastAsia="仿宋_GB2312" w:cs="仿宋_GB2312"/>
          <w:kern w:val="0"/>
          <w:sz w:val="32"/>
          <w:szCs w:val="32"/>
          <w:lang w:val="en-US" w:eastAsia="zh-CN" w:bidi="ar"/>
        </w:rPr>
        <w:t>违建、</w:t>
      </w:r>
      <w:r>
        <w:rPr>
          <w:rFonts w:hint="eastAsia" w:ascii="仿宋_GB2312" w:hAnsi="仿宋_GB2312" w:eastAsia="仿宋_GB2312" w:cs="仿宋_GB2312"/>
          <w:kern w:val="0"/>
          <w:sz w:val="32"/>
          <w:szCs w:val="32"/>
          <w:lang w:bidi="ar"/>
        </w:rPr>
        <w:t>市容、广告、占道</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道路挖掘</w:t>
      </w:r>
      <w:r>
        <w:rPr>
          <w:rFonts w:hint="eastAsia" w:ascii="仿宋_GB2312" w:hAnsi="仿宋_GB2312" w:eastAsia="仿宋_GB2312" w:cs="仿宋_GB2312"/>
          <w:kern w:val="0"/>
          <w:sz w:val="32"/>
          <w:szCs w:val="32"/>
          <w:lang w:eastAsia="zh-CN" w:bidi="ar"/>
        </w:rPr>
        <w:t>、环境卫生、园林绿化</w:t>
      </w:r>
      <w:r>
        <w:rPr>
          <w:rFonts w:hint="eastAsia" w:ascii="仿宋_GB2312" w:hAnsi="仿宋_GB2312" w:eastAsia="仿宋_GB2312" w:cs="仿宋_GB2312"/>
          <w:kern w:val="0"/>
          <w:sz w:val="32"/>
          <w:szCs w:val="32"/>
          <w:lang w:bidi="ar"/>
        </w:rPr>
        <w:t>等有行政执法权的</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w:t>
      </w:r>
      <w:r>
        <w:rPr>
          <w:rFonts w:hint="eastAsia" w:ascii="仿宋_GB2312" w:hAnsi="仿宋_GB2312" w:eastAsia="仿宋_GB2312" w:cs="仿宋_GB2312"/>
          <w:kern w:val="0"/>
          <w:sz w:val="32"/>
          <w:szCs w:val="32"/>
          <w:lang w:val="en-US" w:eastAsia="zh-CN" w:bidi="ar"/>
        </w:rPr>
        <w:t>股</w:t>
      </w:r>
      <w:r>
        <w:rPr>
          <w:rFonts w:hint="eastAsia" w:ascii="仿宋_GB2312" w:hAnsi="仿宋_GB2312" w:eastAsia="仿宋_GB2312" w:cs="仿宋_GB2312"/>
          <w:kern w:val="0"/>
          <w:sz w:val="32"/>
          <w:szCs w:val="32"/>
          <w:lang w:bidi="ar"/>
        </w:rPr>
        <w:t>室）</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val="en-US" w:eastAsia="zh-CN" w:bidi="ar"/>
        </w:rPr>
        <w:t>园林局、环卫局</w:t>
      </w:r>
      <w:r>
        <w:rPr>
          <w:rFonts w:hint="eastAsia" w:ascii="仿宋_GB2312" w:hAnsi="仿宋_GB2312" w:eastAsia="仿宋_GB2312" w:cs="仿宋_GB2312"/>
          <w:kern w:val="0"/>
          <w:sz w:val="32"/>
          <w:szCs w:val="32"/>
          <w:lang w:bidi="ar"/>
        </w:rPr>
        <w:t>。</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第三条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城市管理“双随机”抽查实行统一领导，分级负责的机制，并设立以局长为组长，各分管业务的局领导为副组长及相关监管或执法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负责人为成员的领导小组。</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要结合本职工作制定监管对象名录、执法检查人员名录和“双随机”抽查事项清单，并报局领导批准后实施。</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第四条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要严格遵守国家有关法律、法规、规章规定，依法开展行政检查监督和行政执法检查工作。</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第五条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对法律法规规章没有规定的，一律不得擅自开展检查；执法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依法开展“双随机”抽查工作，应派出两名有执法资格的行政执法人员实施“双随机”抽查工作。</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行使日常执法检查时，要严格按照“双随机”原则实施执法检查。</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第六条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要根据监管对象名录库和执法检查人员名录库，随机抽取检查对象，</w:t>
      </w:r>
      <w:r>
        <w:rPr>
          <w:rFonts w:hint="eastAsia" w:ascii="仿宋_GB2312" w:hAnsi="仿宋_GB2312" w:eastAsia="仿宋_GB2312" w:cs="仿宋_GB2312"/>
          <w:kern w:val="0"/>
          <w:sz w:val="32"/>
          <w:szCs w:val="32"/>
          <w:lang w:val="en-US" w:eastAsia="zh-CN" w:bidi="ar"/>
        </w:rPr>
        <w:t>随机</w:t>
      </w:r>
      <w:r>
        <w:rPr>
          <w:rFonts w:hint="eastAsia" w:ascii="仿宋_GB2312" w:hAnsi="仿宋_GB2312" w:eastAsia="仿宋_GB2312" w:cs="仿宋_GB2312"/>
          <w:kern w:val="0"/>
          <w:sz w:val="32"/>
          <w:szCs w:val="32"/>
          <w:lang w:bidi="ar"/>
        </w:rPr>
        <w:t>确定的检查人员前往实施“双随机”抽查；要依照法律法规规章的规定，结合日常监管需要，制定“双随机”抽查事项清单并实施动态管理。每次“双随机”抽查工作都要明确抽查依据、抽查主体、抽查内容、抽查方式等，并报主管领导批准后，及时通过局</w:t>
      </w:r>
      <w:r>
        <w:rPr>
          <w:rFonts w:hint="eastAsia" w:ascii="仿宋_GB2312" w:hAnsi="仿宋_GB2312" w:eastAsia="仿宋_GB2312" w:cs="仿宋_GB2312"/>
          <w:kern w:val="0"/>
          <w:sz w:val="32"/>
          <w:szCs w:val="32"/>
          <w:lang w:val="en-US" w:eastAsia="zh-CN" w:bidi="ar"/>
        </w:rPr>
        <w:t>微信公正平台</w:t>
      </w:r>
      <w:r>
        <w:rPr>
          <w:rFonts w:hint="eastAsia" w:ascii="仿宋_GB2312" w:hAnsi="仿宋_GB2312" w:eastAsia="仿宋_GB2312" w:cs="仿宋_GB2312"/>
          <w:kern w:val="0"/>
          <w:sz w:val="32"/>
          <w:szCs w:val="32"/>
          <w:lang w:bidi="ar"/>
        </w:rPr>
        <w:t>等方式向社会公布。</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bidi="ar"/>
        </w:rPr>
        <w:t>除法律法规规章有明确要求，国务院及国家部委</w:t>
      </w:r>
      <w:r>
        <w:rPr>
          <w:rFonts w:hint="eastAsia" w:ascii="仿宋_GB2312" w:hAnsi="仿宋_GB2312" w:eastAsia="仿宋_GB2312" w:cs="仿宋_GB2312"/>
          <w:kern w:val="0"/>
          <w:sz w:val="32"/>
          <w:szCs w:val="32"/>
          <w:lang w:val="en-US" w:eastAsia="zh-CN" w:bidi="ar"/>
        </w:rPr>
        <w:t>，上级</w:t>
      </w:r>
      <w:r>
        <w:rPr>
          <w:rFonts w:hint="eastAsia" w:ascii="仿宋_GB2312" w:hAnsi="仿宋_GB2312" w:eastAsia="仿宋_GB2312" w:cs="仿宋_GB2312"/>
          <w:kern w:val="0"/>
          <w:sz w:val="32"/>
          <w:szCs w:val="32"/>
          <w:lang w:bidi="ar"/>
        </w:rPr>
        <w:t>政府对监督检查有专门要求，以及被投诉涉嫌违法违规行为，依法应进行监督检查的情形外，各执法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都要实行“双随机”抽查，并不断提高随机抽查在检查工作中的比重，使之逐步成为日常监管的主要方式。</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第七条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要根据实际情况和职能，结合我</w:t>
      </w:r>
      <w:r>
        <w:rPr>
          <w:rFonts w:hint="eastAsia" w:ascii="仿宋_GB2312" w:hAnsi="仿宋_GB2312" w:eastAsia="仿宋_GB2312" w:cs="仿宋_GB2312"/>
          <w:kern w:val="0"/>
          <w:sz w:val="32"/>
          <w:szCs w:val="32"/>
          <w:lang w:eastAsia="zh-CN" w:bidi="ar"/>
        </w:rPr>
        <w:t>县</w:t>
      </w:r>
      <w:r>
        <w:rPr>
          <w:rFonts w:hint="eastAsia" w:ascii="仿宋_GB2312" w:hAnsi="仿宋_GB2312" w:eastAsia="仿宋_GB2312" w:cs="仿宋_GB2312"/>
          <w:kern w:val="0"/>
          <w:sz w:val="32"/>
          <w:szCs w:val="32"/>
          <w:lang w:bidi="ar"/>
        </w:rPr>
        <w:t>经济社会发展和监管领域实际，合理确定随机抽查的比例和频次，除法律法规规章对检查频次和抽查比例有明确规定外，对于一般事项随机抽查比例根据实际情况一次不得少于监管对象名录总数的10%，频次不得少于1次/</w:t>
      </w:r>
      <w:r>
        <w:rPr>
          <w:rFonts w:hint="eastAsia" w:ascii="仿宋_GB2312" w:hAnsi="仿宋_GB2312" w:eastAsia="仿宋_GB2312" w:cs="仿宋_GB2312"/>
          <w:kern w:val="0"/>
          <w:sz w:val="32"/>
          <w:szCs w:val="32"/>
          <w:lang w:eastAsia="zh-CN" w:bidi="ar"/>
        </w:rPr>
        <w:t>半年</w:t>
      </w:r>
      <w:r>
        <w:rPr>
          <w:rFonts w:hint="eastAsia" w:ascii="仿宋_GB2312" w:hAnsi="仿宋_GB2312" w:eastAsia="仿宋_GB2312" w:cs="仿宋_GB2312"/>
          <w:kern w:val="0"/>
          <w:sz w:val="32"/>
          <w:szCs w:val="32"/>
          <w:lang w:bidi="ar"/>
        </w:rPr>
        <w:t>。为防止检查过多和执法扰民，对于同一监管对象的多个检查事项，执法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要加强与相关部门的联系协调，实施联合抽查等方式，一次性完成，提高管理和执法效能。</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 xml:space="preserve">第八条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要及时将有关抽查数据和监管对象名录按照有关要求报送局管理</w:t>
      </w:r>
      <w:r>
        <w:rPr>
          <w:rFonts w:hint="eastAsia" w:ascii="仿宋_GB2312" w:hAnsi="仿宋_GB2312" w:eastAsia="仿宋_GB2312" w:cs="仿宋_GB2312"/>
          <w:kern w:val="0"/>
          <w:sz w:val="32"/>
          <w:szCs w:val="32"/>
          <w:lang w:val="en-US" w:eastAsia="zh-CN" w:bidi="ar"/>
        </w:rPr>
        <w:t>股</w:t>
      </w:r>
      <w:r>
        <w:rPr>
          <w:rFonts w:hint="eastAsia" w:ascii="仿宋_GB2312" w:hAnsi="仿宋_GB2312" w:eastAsia="仿宋_GB2312" w:cs="仿宋_GB2312"/>
          <w:kern w:val="0"/>
          <w:sz w:val="32"/>
          <w:szCs w:val="32"/>
          <w:lang w:bidi="ar"/>
        </w:rPr>
        <w:t>；局管理</w:t>
      </w:r>
      <w:r>
        <w:rPr>
          <w:rFonts w:hint="eastAsia" w:ascii="仿宋_GB2312" w:hAnsi="仿宋_GB2312" w:eastAsia="仿宋_GB2312" w:cs="仿宋_GB2312"/>
          <w:kern w:val="0"/>
          <w:sz w:val="32"/>
          <w:szCs w:val="32"/>
          <w:lang w:val="en-US" w:eastAsia="zh-CN" w:bidi="ar"/>
        </w:rPr>
        <w:t>股</w:t>
      </w:r>
      <w:r>
        <w:rPr>
          <w:rFonts w:hint="eastAsia" w:ascii="仿宋_GB2312" w:hAnsi="仿宋_GB2312" w:eastAsia="仿宋_GB2312" w:cs="仿宋_GB2312"/>
          <w:kern w:val="0"/>
          <w:sz w:val="32"/>
          <w:szCs w:val="32"/>
          <w:lang w:bidi="ar"/>
        </w:rPr>
        <w:t>要及时准确地将监管或执法机构报送的抽查资料和监管对象名录报局领导批准后，由局</w:t>
      </w:r>
      <w:r>
        <w:rPr>
          <w:rFonts w:hint="eastAsia" w:ascii="仿宋_GB2312" w:hAnsi="仿宋_GB2312" w:eastAsia="仿宋_GB2312" w:cs="仿宋_GB2312"/>
          <w:kern w:val="0"/>
          <w:sz w:val="32"/>
          <w:szCs w:val="32"/>
          <w:lang w:val="en-US" w:eastAsia="zh-CN" w:bidi="ar"/>
        </w:rPr>
        <w:t>办公室</w:t>
      </w:r>
      <w:r>
        <w:rPr>
          <w:rFonts w:hint="eastAsia" w:ascii="仿宋_GB2312" w:hAnsi="仿宋_GB2312" w:eastAsia="仿宋_GB2312" w:cs="仿宋_GB2312"/>
          <w:kern w:val="0"/>
          <w:sz w:val="32"/>
          <w:szCs w:val="32"/>
          <w:lang w:bidi="ar"/>
        </w:rPr>
        <w:t>统一向社会公布，并负责做好</w:t>
      </w:r>
      <w:r>
        <w:rPr>
          <w:rFonts w:hint="eastAsia" w:ascii="仿宋_GB2312" w:hAnsi="仿宋_GB2312" w:eastAsia="仿宋_GB2312" w:cs="仿宋_GB2312"/>
          <w:kern w:val="0"/>
          <w:sz w:val="32"/>
          <w:szCs w:val="32"/>
          <w:lang w:val="en-US" w:eastAsia="zh-CN" w:bidi="ar"/>
        </w:rPr>
        <w:t>局城市管理微信公正平台</w:t>
      </w:r>
      <w:r>
        <w:rPr>
          <w:rFonts w:hint="eastAsia" w:ascii="仿宋_GB2312" w:hAnsi="仿宋_GB2312" w:eastAsia="仿宋_GB2312" w:cs="仿宋_GB2312"/>
          <w:kern w:val="0"/>
          <w:sz w:val="32"/>
          <w:szCs w:val="32"/>
          <w:lang w:bidi="ar"/>
        </w:rPr>
        <w:t>信息发布等相关工作。</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第九条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对被抽查监管对象实施检查时，持行政执法证件人员不得少于两人，并出示执法证件。检查人员要填写抽查检查记录，如实记录检查情况，并由监管对象负责人签字或盖章确认，无法取得签字或盖章的，检查人员要注明原因，必要时可邀请有关人员作为见证。“双随机”抽查应做到全程记录（包括：书面、视频、音频等方式），公正执法，依法保护当事人合法权益，实现责任可追溯。对确定的检查事项和内容，要一次性完成检查。抽查检查资料要及时归档保存，以便日后查阅。</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要强化“双随机”抽查结果的使用，对抽查发现的违法违规行为，要依法加大惩处力度，增强市场主体守法的自觉性。</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第十一条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要对抽查结果的合法性、准确性和及时性负责，并将抽查情况及查处结果记录及时报局办公室，由局办公室将结果记录在被抽查监管对象的公示信息中，并经局领导批准后向社会公示，接受社会监督。</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579" w:firstLineChars="181"/>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第十二条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对抽查结果正常的监管对象，自抽查结束之日起10个工作日内由执法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报局办公室；局办公室要在10个工作日内向社会公示。对抽查有问题的监管对象，区分情况由执法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依法作出处理并报局办公室向社会公示。对检查中发现的不属于本部门职责范围内的违法违规行为，由监管或执法机构将案件线索以局名义移送相应监管部门依法处理。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732" w:firstLineChars="229"/>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第十三条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eastAsia="zh-CN" w:bidi="ar"/>
        </w:rPr>
        <w:t>环卫局、园林局、</w:t>
      </w:r>
      <w:r>
        <w:rPr>
          <w:rFonts w:hint="eastAsia" w:ascii="仿宋_GB2312" w:hAnsi="仿宋_GB2312" w:eastAsia="仿宋_GB2312" w:cs="仿宋_GB2312"/>
          <w:kern w:val="0"/>
          <w:sz w:val="32"/>
          <w:szCs w:val="32"/>
          <w:lang w:bidi="ar"/>
        </w:rPr>
        <w:t>执法</w:t>
      </w:r>
      <w:r>
        <w:rPr>
          <w:rFonts w:hint="eastAsia" w:ascii="仿宋_GB2312" w:hAnsi="仿宋_GB2312" w:eastAsia="仿宋_GB2312" w:cs="仿宋_GB2312"/>
          <w:kern w:val="0"/>
          <w:sz w:val="32"/>
          <w:szCs w:val="32"/>
          <w:lang w:val="en-US" w:eastAsia="zh-CN" w:bidi="ar"/>
        </w:rPr>
        <w:t>中队</w:t>
      </w:r>
      <w:r>
        <w:rPr>
          <w:rFonts w:hint="eastAsia" w:ascii="仿宋_GB2312" w:hAnsi="仿宋_GB2312" w:eastAsia="仿宋_GB2312" w:cs="仿宋_GB2312"/>
          <w:kern w:val="0"/>
          <w:sz w:val="32"/>
          <w:szCs w:val="32"/>
          <w:lang w:bidi="ar"/>
        </w:rPr>
        <w:t>要根据监管对象的信用情况，采取针对性强的监督检查方式，将随机抽查结果纳入监管对象的社会信用记录，并建立监管对象诚信档案、失信联合惩治机制和黑名单等有关机制，在政府采购、政府购买服务、工程招投标等方面予以限制或禁止，让失信者一处违规、处处受限。</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kern w:val="0"/>
          <w:sz w:val="32"/>
          <w:szCs w:val="32"/>
          <w:lang w:bidi="ar"/>
        </w:rPr>
        <w:t>第十四条</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val="en-US" w:eastAsia="zh-CN" w:bidi="ar"/>
        </w:rPr>
        <w:t xml:space="preserve"> </w:t>
      </w:r>
      <w:r>
        <w:rPr>
          <w:rFonts w:hint="eastAsia" w:ascii="仿宋_GB2312" w:hAnsi="仿宋_GB2312" w:eastAsia="仿宋_GB2312" w:cs="仿宋_GB2312"/>
          <w:kern w:val="0"/>
          <w:sz w:val="32"/>
          <w:szCs w:val="32"/>
          <w:lang w:bidi="ar"/>
        </w:rPr>
        <w:t>有关人员对被抽取的监管对象实施检查时，不得妨碍监管对象正常的生产经营活动，不得索取或收受监管对象的财物，不得谋取其它利益。对抽查监管工作中的失职渎职和违纪行为，依法依纪严肃处理。</w:t>
      </w:r>
    </w:p>
    <w:p>
      <w:pPr>
        <w:keepNext w:val="0"/>
        <w:keepLines w:val="0"/>
        <w:pageBreakBefore w:val="0"/>
        <w:widowControl/>
        <w:kinsoku/>
        <w:wordWrap/>
        <w:overflowPunct/>
        <w:topLinePunct w:val="0"/>
        <w:autoSpaceDE/>
        <w:autoSpaceDN/>
        <w:bidi w:val="0"/>
        <w:adjustRightInd/>
        <w:snapToGrid/>
        <w:spacing w:line="580" w:lineRule="exact"/>
        <w:ind w:left="0" w:leftChars="0" w:right="0" w:rightChars="0"/>
        <w:textAlignment w:val="auto"/>
        <w:outlineLvl w:val="9"/>
        <w:rPr>
          <w:rFonts w:hint="eastAsia" w:ascii="宋体" w:hAnsi="宋体" w:cs="宋体"/>
          <w:kern w:val="0"/>
          <w:szCs w:val="21"/>
          <w:lang w:bidi="ar"/>
        </w:rPr>
      </w:pPr>
      <w:r>
        <w:rPr>
          <w:rFonts w:hint="eastAsia" w:ascii="黑体" w:hAnsi="黑体" w:eastAsia="黑体" w:cs="黑体"/>
          <w:kern w:val="0"/>
          <w:sz w:val="32"/>
          <w:szCs w:val="32"/>
          <w:lang w:val="en-US" w:eastAsia="zh-CN" w:bidi="ar"/>
        </w:rPr>
        <w:t xml:space="preserve">    </w:t>
      </w:r>
      <w:r>
        <w:rPr>
          <w:rFonts w:hint="eastAsia" w:ascii="黑体" w:hAnsi="黑体" w:eastAsia="黑体" w:cs="黑体"/>
          <w:kern w:val="0"/>
          <w:sz w:val="32"/>
          <w:szCs w:val="32"/>
          <w:lang w:bidi="ar"/>
        </w:rPr>
        <w:t>第十五条</w:t>
      </w:r>
      <w:r>
        <w:rPr>
          <w:rFonts w:hint="eastAsia" w:ascii="黑体" w:hAnsi="黑体" w:eastAsia="黑体" w:cs="黑体"/>
          <w:kern w:val="0"/>
          <w:sz w:val="32"/>
          <w:szCs w:val="32"/>
          <w:lang w:val="en-US" w:eastAsia="zh-CN" w:bidi="ar"/>
        </w:rPr>
        <w:t xml:space="preserve"> </w:t>
      </w:r>
      <w:r>
        <w:rPr>
          <w:rFonts w:hint="eastAsia" w:ascii="仿宋_GB2312" w:hAnsi="仿宋_GB2312" w:eastAsia="仿宋_GB2312" w:cs="仿宋_GB2312"/>
          <w:kern w:val="0"/>
          <w:sz w:val="32"/>
          <w:szCs w:val="32"/>
          <w:lang w:bidi="ar"/>
        </w:rPr>
        <w:t xml:space="preserve"> 本细则自印发之日起实施。有关法律法规规章另有规定的从其规定。</w:t>
      </w:r>
      <w:r>
        <w:rPr>
          <w:rFonts w:hint="eastAsia" w:ascii="宋体" w:hAnsi="宋体" w:cs="宋体"/>
          <w:kern w:val="0"/>
          <w:sz w:val="32"/>
          <w:szCs w:val="32"/>
          <w:lang w:bidi="ar"/>
        </w:rPr>
        <w:t xml:space="preserve"> </w:t>
      </w:r>
      <w:r>
        <w:rPr>
          <w:rFonts w:hint="eastAsia" w:ascii="宋体" w:hAnsi="宋体" w:cs="宋体"/>
          <w:kern w:val="0"/>
          <w:szCs w:val="21"/>
          <w:lang w:bidi="ar"/>
        </w:rPr>
        <w:t xml:space="preserve"> </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MmY5Mzc2Y2NjMDNkNmI4NWFmOTc5NWNiNzQ0MWUifQ=="/>
  </w:docVars>
  <w:rsids>
    <w:rsidRoot w:val="00000000"/>
    <w:rsid w:val="022321E0"/>
    <w:rsid w:val="0FA73FA2"/>
    <w:rsid w:val="1069748C"/>
    <w:rsid w:val="142E0338"/>
    <w:rsid w:val="1D3F35A0"/>
    <w:rsid w:val="1F4362C2"/>
    <w:rsid w:val="20F56F0E"/>
    <w:rsid w:val="24963014"/>
    <w:rsid w:val="25554918"/>
    <w:rsid w:val="263B7034"/>
    <w:rsid w:val="2CD45AC9"/>
    <w:rsid w:val="2D2C76B3"/>
    <w:rsid w:val="31F73DB8"/>
    <w:rsid w:val="38523D46"/>
    <w:rsid w:val="3E193B32"/>
    <w:rsid w:val="3F7C5C6C"/>
    <w:rsid w:val="40E12594"/>
    <w:rsid w:val="40F9255E"/>
    <w:rsid w:val="478F466E"/>
    <w:rsid w:val="47B95B8F"/>
    <w:rsid w:val="4CF338F1"/>
    <w:rsid w:val="4E4063DB"/>
    <w:rsid w:val="4FF01618"/>
    <w:rsid w:val="541479EE"/>
    <w:rsid w:val="54DE6C35"/>
    <w:rsid w:val="62D06D97"/>
    <w:rsid w:val="63B137D3"/>
    <w:rsid w:val="655C46EC"/>
    <w:rsid w:val="691539D0"/>
    <w:rsid w:val="6AFA291B"/>
    <w:rsid w:val="6B2C02A3"/>
    <w:rsid w:val="6BB60058"/>
    <w:rsid w:val="6BF640B2"/>
    <w:rsid w:val="6C2A0EB3"/>
    <w:rsid w:val="71D6272F"/>
    <w:rsid w:val="72AD3D0E"/>
    <w:rsid w:val="752D15DC"/>
    <w:rsid w:val="76F64B48"/>
    <w:rsid w:val="78292094"/>
    <w:rsid w:val="78A07BDA"/>
    <w:rsid w:val="7B3F6A8D"/>
    <w:rsid w:val="7CA829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2206</Words>
  <Characters>2221</Characters>
  <Lines>0</Lines>
  <Paragraphs>0</Paragraphs>
  <TotalTime>15</TotalTime>
  <ScaleCrop>false</ScaleCrop>
  <LinksUpToDate>false</LinksUpToDate>
  <CharactersWithSpaces>2305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2023-04-11T07:15:00Z</cp:lastPrinted>
  <dcterms:modified xsi:type="dcterms:W3CDTF">2023-04-13T02:08:45Z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F74F8392BB3C4992B7C3795443792670</vt:lpwstr>
  </property>
</Properties>
</file>