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C1A09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规范户外广告  净化城市空间</w:t>
      </w:r>
    </w:p>
    <w:p w14:paraId="4CF6AB61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68D5E036">
      <w:pPr>
        <w:ind w:firstLine="640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通城县城市管理执法局按照“规范管理、安全美观”的原则，持续开展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户外广告管理，净化了城市空间。</w:t>
      </w:r>
    </w:p>
    <w:p w14:paraId="02F33A63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一、严审户外广告设置。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按照《湖北省门店招牌设置管理规范》、《咸宁市户外广告和招牌设施管理方法》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的要求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户外广告设置审批严格落实申请、受理、审查、决定程序，门店招牌严格落实上门备案制度，对与周边环境不协调、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影响疏散逃生、灭火救援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的户外广告（门店招牌）一律不予审批并书面向申请人送达不予行政许可决定书，今年来，共审批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户外广告1块，登记备案的门店招牌125块。</w:t>
      </w:r>
    </w:p>
    <w:p w14:paraId="08EE3C7A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二、严管户外广告制作。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批准设置的户外广告、备案的门店招牌实行制作全过程跟踪监管，同时强化对城区主次干道、公园广场、车站等地段各类户外广告设施进行全覆盖巡查，确保户外广告、门店招牌与周边环境相协调，不影响城市容貌。</w:t>
      </w:r>
    </w:p>
    <w:p w14:paraId="635B8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三、严治杂乱户外广告。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一是持续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宣传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促认识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采取利用执法车辆宣传和向临街逐户发放《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关于进一步加强户外广告及门店招牌管理的通知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》等方式，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宣传讲解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相关法律法规、安全生产工作的重要性、违规设置户外广告的危害性，提升了广大经营业主、单位主动维护户外广告、门店招牌的自觉性、责任感，自去年以来，向相关单位、经营业主共送达告知书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1000余份。二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是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全面排查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促整改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根据省、市、县关于消防安全工作部署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定了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《关于开展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市容管理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安全隐患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集中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整治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行动工作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方案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》。从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4月28日开始，利用半个月期限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城区主次干道封堵二楼及以上窗户、阳台影响疏散逃生和灭火救援障碍物的</w:t>
      </w:r>
      <w:r>
        <w:rPr>
          <w:rFonts w:hint="eastAsia" w:ascii="仿宋_GB2312" w:hAnsi="仿宋_GB2312" w:eastAsia="仿宋_GB2312" w:cs="仿宋_GB2312"/>
          <w:sz w:val="32"/>
          <w:szCs w:val="32"/>
        </w:rPr>
        <w:t>户外广告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、门店招牌设施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进行全面排查摸底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8月12日至16日，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再次组织人员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规划区内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其他道路</w:t>
      </w:r>
      <w:r>
        <w:rPr>
          <w:rFonts w:hint="eastAsia" w:ascii="仿宋_GB2312" w:hAnsi="仿宋_GB2312" w:eastAsia="仿宋_GB2312" w:cs="仿宋_GB2312"/>
          <w:sz w:val="32"/>
          <w:szCs w:val="32"/>
        </w:rPr>
        <w:t>两侧户外广告设施进行全面调查摸底和数据采集整理，</w:t>
      </w:r>
      <w:r>
        <w:rPr>
          <w:rFonts w:hint="eastAsia" w:ascii="仿宋_GB2312" w:eastAsia="仿宋_GB2312"/>
          <w:sz w:val="32"/>
          <w:szCs w:val="32"/>
          <w:lang w:eastAsia="zh-CN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排查存在安全隐患等问题的门店招牌173块，并按照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未经审批擅自设置、超过审批设置期限、存在安全风险隐患、不符合市容市貌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分类建立</w:t>
      </w:r>
      <w:r>
        <w:rPr>
          <w:rFonts w:hint="eastAsia" w:ascii="仿宋_GB2312" w:eastAsia="仿宋_GB2312"/>
          <w:sz w:val="32"/>
          <w:szCs w:val="32"/>
        </w:rPr>
        <w:t>详实的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问题清单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是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集中整治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促规范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户外广告管理“减量、规范、提升”的工作目标，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排查出的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问题清单，采取分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路</w:t>
      </w:r>
      <w:r>
        <w:rPr>
          <w:rFonts w:hint="eastAsia" w:ascii="仿宋_GB2312" w:hAnsi="仿宋_GB2312" w:eastAsia="仿宋_GB2312" w:cs="仿宋_GB2312"/>
          <w:sz w:val="32"/>
          <w:szCs w:val="32"/>
        </w:rPr>
        <w:t>包保，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下达《责令停止（限期改正）违法行为通知书》，利用高空作业车、氧割机、聘请专业施工队依法依规对破旧、杂乱、存在安全隐患的户外广告、门店招牌进行拆除，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今年以来，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共清理移动灯箱47个、横幅173处；拆除影响疏散逃生和灭火救援门店招牌151块、破旧布幅31块、杂乱户外广告12块，</w:t>
      </w:r>
      <w:r>
        <w:rPr>
          <w:rFonts w:hint="eastAsia" w:ascii="仿宋_GB2312" w:eastAsia="仿宋_GB2312"/>
          <w:sz w:val="32"/>
          <w:szCs w:val="32"/>
        </w:rPr>
        <w:t>城市空间环境进一步得到了净化。</w:t>
      </w:r>
    </w:p>
    <w:p w14:paraId="709406BC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4F7AFA2">
      <w:pPr>
        <w:pStyle w:val="3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</w:t>
      </w:r>
      <w:bookmarkStart w:id="0" w:name="_GoBack"/>
      <w:bookmarkEnd w:id="0"/>
    </w:p>
    <w:p w14:paraId="04E7D29E"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975E4E-F1D6-4F34-BFB2-F450D968B0E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8746949-4369-48EA-AAE5-684724D372B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3A5A400-A5E9-47BB-868C-BF7E428652E0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ODM2MzYwYTFmOTUwYjQ3MDVjM2Q3NGJlYzMxMTgifQ=="/>
  </w:docVars>
  <w:rsids>
    <w:rsidRoot w:val="31677DB2"/>
    <w:rsid w:val="01C55A43"/>
    <w:rsid w:val="04E377CC"/>
    <w:rsid w:val="26827C1E"/>
    <w:rsid w:val="2A827ECE"/>
    <w:rsid w:val="31677DB2"/>
    <w:rsid w:val="370A0339"/>
    <w:rsid w:val="46E2098A"/>
    <w:rsid w:val="506A5C79"/>
    <w:rsid w:val="53433165"/>
    <w:rsid w:val="59940DB2"/>
    <w:rsid w:val="662657D9"/>
    <w:rsid w:val="6EF2535F"/>
    <w:rsid w:val="7F9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3"/>
    <w:qFormat/>
    <w:uiPriority w:val="0"/>
    <w:pPr>
      <w:keepNext/>
      <w:keepLines/>
      <w:spacing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Table of Authorities1"/>
    <w:basedOn w:val="1"/>
    <w:next w:val="1"/>
    <w:qFormat/>
    <w:uiPriority w:val="99"/>
    <w:pPr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971</Words>
  <Characters>988</Characters>
  <Lines>0</Lines>
  <Paragraphs>0</Paragraphs>
  <TotalTime>20</TotalTime>
  <ScaleCrop>false</ScaleCrop>
  <LinksUpToDate>false</LinksUpToDate>
  <CharactersWithSpaces>1019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2024-08-30T00:57:00Z</dcterms:created>
  <dc:creator>镜</dc:creator>
  <cp:lastModifiedBy>镜</cp:lastModifiedBy>
  <dcterms:modified xsi:type="dcterms:W3CDTF">2024-10-08T01:24:34Z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EF2CC5F6BD2B4AE9B28AAB15AAB609D2_13</vt:lpwstr>
  </property>
</Properties>
</file>